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0B614" w14:textId="77777777" w:rsidR="00BE1449" w:rsidRDefault="00A0127B">
      <w:pPr>
        <w:pStyle w:val="berschrift"/>
      </w:pPr>
      <w:r>
        <w:t>Sehr geehrte Mandantin,</w:t>
      </w:r>
      <w:r>
        <w:br/>
        <w:t>sehr geehrter Mandant,</w:t>
      </w:r>
    </w:p>
    <w:p w14:paraId="43396268" w14:textId="113AB745" w:rsidR="00B91C77" w:rsidRPr="00F52A53" w:rsidRDefault="00B91C77" w:rsidP="00B91C77">
      <w:r>
        <w:t>d</w:t>
      </w:r>
      <w:r w:rsidRPr="00F52A53">
        <w:t xml:space="preserve">as </w:t>
      </w:r>
      <w:r w:rsidRPr="003E0060">
        <w:t xml:space="preserve">Gesetz zur Ermöglichung </w:t>
      </w:r>
      <w:r w:rsidRPr="00356089">
        <w:rPr>
          <w:b/>
          <w:bCs/>
        </w:rPr>
        <w:t>hybrider und virtueller Mitgliederversammlungen</w:t>
      </w:r>
      <w:r w:rsidRPr="003E0060">
        <w:t xml:space="preserve"> im Vereinsrecht</w:t>
      </w:r>
      <w:r w:rsidRPr="00F52A53">
        <w:t xml:space="preserve"> </w:t>
      </w:r>
      <w:r>
        <w:t xml:space="preserve">ist unter Dach und Fach. Wir stellen Ihnen die Eckpunkte vor. Darüber hinaus setzen wir uns im Hinblick auf die Abgrenzung </w:t>
      </w:r>
      <w:r w:rsidR="00E619CD">
        <w:t xml:space="preserve">zwischen </w:t>
      </w:r>
      <w:r w:rsidRPr="00356089">
        <w:rPr>
          <w:b/>
          <w:bCs/>
        </w:rPr>
        <w:t>Zweckbetrieb</w:t>
      </w:r>
      <w:r>
        <w:t xml:space="preserve"> und wirtschaftlichem Geschäftsbetrieb mit zwei Entscheidungen auseinander, denen </w:t>
      </w:r>
      <w:r w:rsidRPr="00356089">
        <w:rPr>
          <w:b/>
          <w:bCs/>
        </w:rPr>
        <w:t>Konkurrentenklagen</w:t>
      </w:r>
      <w:r>
        <w:t xml:space="preserve"> zugrunde lagen. Der </w:t>
      </w:r>
      <w:r w:rsidRPr="00356089">
        <w:rPr>
          <w:b/>
          <w:bCs/>
        </w:rPr>
        <w:t>Steuertipp</w:t>
      </w:r>
      <w:r>
        <w:t xml:space="preserve"> beleuchtet s</w:t>
      </w:r>
      <w:r w:rsidRPr="00356089">
        <w:t xml:space="preserve">teuerliche Maßnahmen zur Unterstützung der </w:t>
      </w:r>
      <w:r w:rsidRPr="00356089">
        <w:rPr>
          <w:b/>
          <w:bCs/>
        </w:rPr>
        <w:t>Opfer des Erdbebens</w:t>
      </w:r>
      <w:r w:rsidRPr="00356089">
        <w:t xml:space="preserve"> in der Türkei und in Syrien</w:t>
      </w:r>
      <w:r>
        <w:t>.</w:t>
      </w:r>
    </w:p>
    <w:p w14:paraId="0B811A7C" w14:textId="77777777" w:rsidR="00B91C77" w:rsidRDefault="00B91C77" w:rsidP="00B91C77">
      <w:pPr>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72E1AD55" w14:textId="77777777" w:rsidR="00B91C77" w:rsidRDefault="00B91C77" w:rsidP="00B91C77">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29019548"/>
      <w:r w:rsidRPr="00CC4DF7">
        <w:rPr>
          <w:b/>
          <w:bCs/>
        </w:rPr>
        <w:t>Gesetzgebung</w:t>
      </w:r>
      <w:r>
        <w:rPr>
          <w:b/>
        </w:rPr>
        <w:t>:</w:t>
      </w:r>
      <w:r>
        <w:t xml:space="preserve"> Bundesrat gibt g</w:t>
      </w:r>
      <w:r w:rsidRPr="003E0060">
        <w:t xml:space="preserve">rünes Licht </w:t>
      </w:r>
      <w:r>
        <w:br/>
      </w:r>
      <w:r w:rsidRPr="003E0060">
        <w:t>für digitale Mitgliederversammlungen</w:t>
      </w:r>
      <w:r>
        <w:tab/>
        <w:t>1</w:t>
      </w:r>
    </w:p>
    <w:p w14:paraId="56C38F1D" w14:textId="77777777" w:rsidR="00B91C77" w:rsidRDefault="00B91C77" w:rsidP="00B91C77">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891F78">
        <w:rPr>
          <w:b/>
          <w:bCs/>
        </w:rPr>
        <w:t>Zweckbetrieb:</w:t>
      </w:r>
      <w:r>
        <w:t xml:space="preserve"> Spielt die Höhe des Gewinns </w:t>
      </w:r>
      <w:r>
        <w:br/>
        <w:t>einer Beschäftigungsgesellschaft eine Rolle?</w:t>
      </w:r>
      <w:r>
        <w:tab/>
        <w:t>2</w:t>
      </w:r>
    </w:p>
    <w:p w14:paraId="2756217B" w14:textId="77777777" w:rsidR="00B91C77" w:rsidRDefault="00B91C77" w:rsidP="00B91C77">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Hilfsmittel:</w:t>
      </w:r>
      <w:r>
        <w:t xml:space="preserve"> Eine r</w:t>
      </w:r>
      <w:r w:rsidRPr="00F450D4">
        <w:t xml:space="preserve">eine Verkaufstätigkeit </w:t>
      </w:r>
      <w:r>
        <w:br/>
      </w:r>
      <w:r w:rsidRPr="00F450D4">
        <w:t>begründet noch keinen Zweckbetrieb</w:t>
      </w:r>
      <w:r>
        <w:tab/>
        <w:t>2</w:t>
      </w:r>
    </w:p>
    <w:p w14:paraId="2E4F2C46" w14:textId="173CBF53" w:rsidR="00B91C77" w:rsidRDefault="00B91C77" w:rsidP="00B91C77">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Satzung:</w:t>
      </w:r>
      <w:r>
        <w:t xml:space="preserve"> </w:t>
      </w:r>
      <w:r w:rsidRPr="00C82387">
        <w:t xml:space="preserve">Für </w:t>
      </w:r>
      <w:r w:rsidR="000D6453">
        <w:t xml:space="preserve">die </w:t>
      </w:r>
      <w:r w:rsidRPr="00C82387">
        <w:t xml:space="preserve">Anerkennung </w:t>
      </w:r>
      <w:r w:rsidRPr="00FF3D41">
        <w:t xml:space="preserve">der </w:t>
      </w:r>
      <w:r w:rsidR="000D6453">
        <w:br/>
      </w:r>
      <w:r w:rsidRPr="00C82387">
        <w:t>Gemeinnützigkeit</w:t>
      </w:r>
      <w:r w:rsidRPr="00FF3D41">
        <w:t xml:space="preserve"> </w:t>
      </w:r>
      <w:r w:rsidRPr="00C82387">
        <w:t xml:space="preserve">gilt </w:t>
      </w:r>
      <w:r w:rsidRPr="00FF3D41">
        <w:t>allein</w:t>
      </w:r>
      <w:r w:rsidRPr="00C82387">
        <w:t xml:space="preserve"> deutsches Recht</w:t>
      </w:r>
      <w:r>
        <w:tab/>
        <w:t>3</w:t>
      </w:r>
    </w:p>
    <w:p w14:paraId="2E6242F0" w14:textId="77777777" w:rsidR="00B91C77" w:rsidRDefault="00B91C77" w:rsidP="00B91C77">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Taxischein:</w:t>
      </w:r>
      <w:r>
        <w:t xml:space="preserve"> </w:t>
      </w:r>
      <w:r w:rsidRPr="00F450D4">
        <w:t xml:space="preserve">Ortskundeprüfung kann </w:t>
      </w:r>
      <w:r>
        <w:br/>
      </w:r>
      <w:r w:rsidRPr="00F450D4">
        <w:t>umsatzsteuerfrei durchgeführt werden</w:t>
      </w:r>
      <w:r>
        <w:tab/>
        <w:t>3</w:t>
      </w:r>
    </w:p>
    <w:p w14:paraId="0AAEABEF" w14:textId="77777777" w:rsidR="00B91C77" w:rsidRPr="00F52A53" w:rsidRDefault="00B91C77" w:rsidP="00B91C77">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F52A53">
        <w:rPr>
          <w:b/>
          <w:bCs/>
        </w:rPr>
        <w:t>Pflegemutter:</w:t>
      </w:r>
      <w:r>
        <w:t xml:space="preserve"> Kann finanzielle Anerkennung </w:t>
      </w:r>
      <w:r>
        <w:br/>
        <w:t>eine verdeckte Entlohnung sein?</w:t>
      </w:r>
      <w:r>
        <w:tab/>
        <w:t>3</w:t>
      </w:r>
    </w:p>
    <w:p w14:paraId="6A06B2E2" w14:textId="77777777" w:rsidR="00B91C77" w:rsidRDefault="00B91C77" w:rsidP="00B91C77">
      <w:pPr>
        <w:pStyle w:val="Verzeichnis1"/>
        <w:framePr w:w="4332" w:wrap="around" w:vAnchor="page" w:hAnchor="page" w:x="6414" w:y="12248"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Steuertipp:</w:t>
      </w:r>
      <w:r>
        <w:t xml:space="preserve"> Vereine können den Erdbebenopfern </w:t>
      </w:r>
      <w:r>
        <w:br/>
        <w:t>in der Türkei und in Syrien helfen!</w:t>
      </w:r>
      <w:bookmarkEnd w:id="0"/>
      <w:r>
        <w:tab/>
        <w:t>4</w:t>
      </w:r>
    </w:p>
    <w:p w14:paraId="1E0977BF" w14:textId="77777777" w:rsidR="00B91C77" w:rsidRDefault="00B91C77" w:rsidP="00B91C77">
      <w:pPr>
        <w:pStyle w:val="berschrift2"/>
      </w:pPr>
      <w:r>
        <w:t>Gesetzgebung</w:t>
      </w:r>
      <w:r>
        <w:tab/>
      </w:r>
    </w:p>
    <w:p w14:paraId="6C43A696" w14:textId="77777777" w:rsidR="00B91C77" w:rsidRPr="007A4E7F" w:rsidRDefault="00B91C77" w:rsidP="00B91C77">
      <w:pPr>
        <w:pStyle w:val="berschrift1"/>
      </w:pPr>
      <w:r>
        <w:t>Bundesrat gibt g</w:t>
      </w:r>
      <w:r w:rsidRPr="003E0060">
        <w:t>rünes Licht für digitale Mitgliederversammlungen</w:t>
      </w:r>
    </w:p>
    <w:p w14:paraId="7A5ABE47" w14:textId="6012D356" w:rsidR="00B91C77" w:rsidRDefault="00B91C77" w:rsidP="00B91C77">
      <w:r w:rsidRPr="003E0060">
        <w:t xml:space="preserve">Der Bundesrat hat das vom Bundestag beschlossene Gesetz zur Ermöglichung hybrider und virtueller Mitgliederversammlungen im Vereinsrecht gebilligt. Es geht auf einen Entwurf der Länderkammer zurück (vgl. </w:t>
      </w:r>
      <w:r w:rsidR="005E4103">
        <w:t>Ausgabe</w:t>
      </w:r>
      <w:r w:rsidR="005E4103" w:rsidRPr="003E0060">
        <w:t xml:space="preserve"> </w:t>
      </w:r>
      <w:r w:rsidRPr="003E0060">
        <w:t>09/22).</w:t>
      </w:r>
    </w:p>
    <w:p w14:paraId="06429851" w14:textId="77777777" w:rsidR="00B91C77" w:rsidRPr="003E0060" w:rsidRDefault="00B91C77" w:rsidP="00B91C77">
      <w:r w:rsidRPr="003E0060">
        <w:t>D</w:t>
      </w:r>
      <w:r>
        <w:t>iese</w:t>
      </w:r>
      <w:r w:rsidRPr="003E0060">
        <w:t xml:space="preserve">s Gesetz ergänzt das Bürgerliche Gesetzbuch um eine Regelung, die es erlaubt, dass Vereinsmitglieder auch </w:t>
      </w:r>
      <w:r w:rsidRPr="00CC4DF7">
        <w:rPr>
          <w:b/>
          <w:bCs/>
        </w:rPr>
        <w:t>ohne Anwesenheit am Versammlungsort</w:t>
      </w:r>
      <w:r w:rsidRPr="003E0060">
        <w:t xml:space="preserve"> im Wege der elektronischen Kommunikation an der Mitgliederversammlung teilnehmen können</w:t>
      </w:r>
      <w:r>
        <w:t>. Das Gleiche gilt für die Ausübung a</w:t>
      </w:r>
      <w:r w:rsidRPr="003E0060">
        <w:t>ndere</w:t>
      </w:r>
      <w:r>
        <w:t>r</w:t>
      </w:r>
      <w:r w:rsidRPr="003E0060">
        <w:t xml:space="preserve"> Mitgliederrechte.</w:t>
      </w:r>
    </w:p>
    <w:p w14:paraId="43DA0BE8" w14:textId="77777777" w:rsidR="00B91C77" w:rsidRDefault="00B91C77" w:rsidP="00B91C77">
      <w:pPr>
        <w:shd w:val="clear" w:color="auto" w:fill="E6E6E6"/>
        <w:spacing w:after="140"/>
        <w:ind w:left="284"/>
      </w:pPr>
      <w:r>
        <w:rPr>
          <w:b/>
        </w:rPr>
        <w:t>Hinweis:</w:t>
      </w:r>
      <w:r>
        <w:t xml:space="preserve"> Damit lassen sich virtuelle oder hybride Mitgliederversammlungen durchführen, ohne die Satzung zu ändern.</w:t>
      </w:r>
    </w:p>
    <w:p w14:paraId="1F078AC4" w14:textId="77777777" w:rsidR="00B91C77" w:rsidRPr="003E0060" w:rsidRDefault="00B91C77" w:rsidP="00B91C77">
      <w:r w:rsidRPr="003E0060">
        <w:t xml:space="preserve">Neben dieser Möglichkeit der „hybriden Versammlung“ können die Mitglieder auch beschließen, dass Versammlungen </w:t>
      </w:r>
      <w:r w:rsidRPr="00CC4DF7">
        <w:rPr>
          <w:b/>
          <w:bCs/>
        </w:rPr>
        <w:t>rein virtuell</w:t>
      </w:r>
      <w:r w:rsidRPr="003E0060">
        <w:t xml:space="preserve"> stattfinden, die Teilnahme also nur mittels elektronischer Kommunikation möglich ist. Wird eine hybride oder virtuelle Versammlung einberufen, muss bei der </w:t>
      </w:r>
      <w:r>
        <w:t>Einb</w:t>
      </w:r>
      <w:r w:rsidRPr="003E0060">
        <w:t>erufung auch angegeben werden, wie die Mitglieder ihre Rechte im Wege der elektronischen Kommunikation ausüben können.</w:t>
      </w:r>
    </w:p>
    <w:p w14:paraId="7F633F9D" w14:textId="0FED7547" w:rsidR="00B91C77" w:rsidRDefault="00B91C77" w:rsidP="00B91C77">
      <w:pPr>
        <w:shd w:val="clear" w:color="auto" w:fill="E6E6E6"/>
        <w:spacing w:after="140"/>
        <w:ind w:left="284"/>
      </w:pPr>
      <w:r w:rsidRPr="00367BA1">
        <w:rPr>
          <w:b/>
          <w:bCs/>
        </w:rPr>
        <w:t>Hinweis:</w:t>
      </w:r>
      <w:r>
        <w:t xml:space="preserve"> </w:t>
      </w:r>
      <w:r w:rsidRPr="003E0060">
        <w:t>Das Gesetz knüpft an eine Sonderregelung für die Zeit der Covid-19-Pandemie an</w:t>
      </w:r>
      <w:r>
        <w:t>, die bis zum 31.08.2022 in Kraft war</w:t>
      </w:r>
      <w:r w:rsidRPr="003E0060">
        <w:t xml:space="preserve">. Angesichts der voranschreitenden Digitalisierung seien die damit eröffneten Möglichkeiten auch über die pandemische Situation hinaus sinnvoll, heißt es in der </w:t>
      </w:r>
      <w:r w:rsidR="005234DF">
        <w:t>Gesetzesb</w:t>
      </w:r>
      <w:r w:rsidRPr="003E0060">
        <w:t xml:space="preserve">egründung. Zudem führe dies zu einer Stärkung der Mitgliedschaftsrechte und </w:t>
      </w:r>
      <w:r w:rsidR="00F864F3">
        <w:t xml:space="preserve">einer </w:t>
      </w:r>
      <w:r w:rsidRPr="003E0060">
        <w:t>Förderung des ehrenamtlichen Engagements.</w:t>
      </w:r>
    </w:p>
    <w:p w14:paraId="1D8C7601" w14:textId="77777777" w:rsidR="00B91C77" w:rsidRDefault="00B91C77" w:rsidP="00B91C77">
      <w:pPr>
        <w:pStyle w:val="berschrift2"/>
      </w:pPr>
      <w:r>
        <w:lastRenderedPageBreak/>
        <w:t>Zweckbetrieb</w:t>
      </w:r>
      <w:r>
        <w:tab/>
      </w:r>
    </w:p>
    <w:p w14:paraId="3097C387" w14:textId="77777777" w:rsidR="00B91C77" w:rsidRDefault="00B91C77" w:rsidP="00B91C77">
      <w:pPr>
        <w:pStyle w:val="berschrift1"/>
      </w:pPr>
      <w:r>
        <w:t xml:space="preserve">Spielt die Höhe des Gewinns einer </w:t>
      </w:r>
      <w:r>
        <w:br/>
        <w:t>Beschäftigungsgesellschaft eine Rolle?</w:t>
      </w:r>
    </w:p>
    <w:p w14:paraId="4934F09A" w14:textId="4A2BB20E" w:rsidR="00B91C77" w:rsidRDefault="00B91C77" w:rsidP="00B91C77">
      <w:r>
        <w:t xml:space="preserve">Wenn </w:t>
      </w:r>
      <w:r w:rsidRPr="00523479">
        <w:t>eine gemeinnützige Körperschaft im Ra</w:t>
      </w:r>
      <w:r>
        <w:t>h</w:t>
      </w:r>
      <w:r w:rsidRPr="00523479">
        <w:t xml:space="preserve">men eines allgemeinen Zweckbetriebs nachhaltig </w:t>
      </w:r>
      <w:r>
        <w:t>-</w:t>
      </w:r>
      <w:r w:rsidRPr="00523479">
        <w:t> </w:t>
      </w:r>
      <w:r>
        <w:t>hohe</w:t>
      </w:r>
      <w:r w:rsidRPr="00523479">
        <w:t> </w:t>
      </w:r>
      <w:r>
        <w:t>-</w:t>
      </w:r>
      <w:r w:rsidRPr="00523479">
        <w:t xml:space="preserve"> Gewinne</w:t>
      </w:r>
      <w:r w:rsidRPr="00694AB6">
        <w:t xml:space="preserve"> </w:t>
      </w:r>
      <w:r>
        <w:t>erzielt</w:t>
      </w:r>
      <w:r w:rsidRPr="00523479">
        <w:t xml:space="preserve">, spricht dies </w:t>
      </w:r>
      <w:r>
        <w:t>nach Ansicht des Bunde</w:t>
      </w:r>
      <w:r w:rsidR="00F864F3">
        <w:t>s</w:t>
      </w:r>
      <w:r>
        <w:t xml:space="preserve">finanzhofs (BFH) </w:t>
      </w:r>
      <w:r w:rsidRPr="00523479">
        <w:t>nicht gegen die Zweckbetriebseigenschaft.</w:t>
      </w:r>
    </w:p>
    <w:p w14:paraId="0EFF26A1" w14:textId="77E06CD2" w:rsidR="00B91C77" w:rsidRDefault="00B91C77" w:rsidP="00B91C77">
      <w:r>
        <w:t>Im Streitfall war e</w:t>
      </w:r>
      <w:r w:rsidRPr="00523479">
        <w:t xml:space="preserve">ine </w:t>
      </w:r>
      <w:r>
        <w:t xml:space="preserve">GmbH </w:t>
      </w:r>
      <w:r w:rsidRPr="00523479">
        <w:t xml:space="preserve">wegen </w:t>
      </w:r>
      <w:r w:rsidRPr="00891F78">
        <w:rPr>
          <w:b/>
          <w:bCs/>
        </w:rPr>
        <w:t>Förderung des Wohlfahrtswesens</w:t>
      </w:r>
      <w:r w:rsidRPr="00523479">
        <w:t xml:space="preserve"> als gemeinnützig anerkannt</w:t>
      </w:r>
      <w:r>
        <w:t xml:space="preserve"> und daher von der Körperschaft- und der Gewerbesteuer befreit. Sie verfolgte das </w:t>
      </w:r>
      <w:r w:rsidRPr="00523479">
        <w:t xml:space="preserve">Ziel, von ihr betreute Beschäftigte durch Rehabilitation und Resozialisierung wieder in den allgemeinen Arbeitsmarkt zu integrieren. </w:t>
      </w:r>
      <w:r>
        <w:t>Z</w:t>
      </w:r>
      <w:r w:rsidRPr="00523479">
        <w:t xml:space="preserve">ur Beschäftigung </w:t>
      </w:r>
      <w:r w:rsidR="00F864F3">
        <w:t xml:space="preserve">von </w:t>
      </w:r>
      <w:r w:rsidR="00F864F3" w:rsidRPr="00523479">
        <w:t>langzeitarbeitslose</w:t>
      </w:r>
      <w:r w:rsidR="00F864F3">
        <w:t>n</w:t>
      </w:r>
      <w:r w:rsidR="00F864F3" w:rsidRPr="00523479">
        <w:t xml:space="preserve"> </w:t>
      </w:r>
      <w:r w:rsidRPr="00523479">
        <w:t xml:space="preserve">Menschen mit besonderen Einschränkungen und </w:t>
      </w:r>
      <w:r w:rsidR="00ED7078">
        <w:t>von</w:t>
      </w:r>
      <w:r w:rsidR="00ED7078" w:rsidRPr="00523479">
        <w:t xml:space="preserve"> </w:t>
      </w:r>
      <w:r w:rsidRPr="00523479">
        <w:t>Menschen mit Behinderungen betri</w:t>
      </w:r>
      <w:r>
        <w:t>e</w:t>
      </w:r>
      <w:r w:rsidRPr="00523479">
        <w:t>b sie u</w:t>
      </w:r>
      <w:r>
        <w:t>nter anderem</w:t>
      </w:r>
      <w:r w:rsidRPr="00523479">
        <w:t xml:space="preserve"> eine Großwäscherei. </w:t>
      </w:r>
      <w:r>
        <w:t xml:space="preserve">Zudem </w:t>
      </w:r>
      <w:r w:rsidRPr="00523479">
        <w:t xml:space="preserve">war </w:t>
      </w:r>
      <w:r>
        <w:t>sie</w:t>
      </w:r>
      <w:r w:rsidRPr="00523479">
        <w:t xml:space="preserve"> an einer gewerblich tätigen GmbH beteiligt, die ihrerseits Textilien für Einrichtungen des Gesundheits- und Pflegewesens bereitstellte.</w:t>
      </w:r>
    </w:p>
    <w:p w14:paraId="6D79AA6E" w14:textId="69B0B949" w:rsidR="00B91C77" w:rsidRDefault="00B91C77" w:rsidP="00B91C77">
      <w:r>
        <w:t>Ein auf die textile Vollversorgung von Krankenhäusern und Seniorenheimen mit Mietwäsche spezialisiertes Dienstleistungsunternehmen erhob eine Konkurrentenklage. Darin wurde beantragt, de</w:t>
      </w:r>
      <w:r w:rsidR="00ED7078">
        <w:t>n</w:t>
      </w:r>
      <w:r>
        <w:t xml:space="preserve"> Betrieb der Wäscherei als </w:t>
      </w:r>
      <w:r w:rsidR="00ED7078">
        <w:t xml:space="preserve">steuerpflichtigen wirtschaftlichen </w:t>
      </w:r>
      <w:r>
        <w:t xml:space="preserve">Geschäftsbetrieb </w:t>
      </w:r>
      <w:r w:rsidR="00ED7078">
        <w:t>zu behandeln</w:t>
      </w:r>
      <w:r>
        <w:t xml:space="preserve">. Das Finanzgericht (FG) gab dem Konkurrenten recht, weil in drei aufeinanderfolgenden Veranlagungszeiträumen jeweils Gewinne erwirtschaftet worden seien, die den konkreten </w:t>
      </w:r>
      <w:r w:rsidRPr="00363BB3">
        <w:rPr>
          <w:b/>
          <w:bCs/>
        </w:rPr>
        <w:t>Finanzierungsbedarf überstiegen</w:t>
      </w:r>
      <w:r>
        <w:t xml:space="preserve"> hätten. Damit liege kein allgemeiner Zweckbetrieb vor.</w:t>
      </w:r>
    </w:p>
    <w:p w14:paraId="6F8C23C9" w14:textId="77777777" w:rsidR="00B91C77" w:rsidRPr="000266A1" w:rsidRDefault="00B91C77" w:rsidP="00B91C77">
      <w:r>
        <w:t>D</w:t>
      </w:r>
      <w:r w:rsidRPr="000266A1">
        <w:t xml:space="preserve">er BFH </w:t>
      </w:r>
      <w:r>
        <w:t xml:space="preserve">hat </w:t>
      </w:r>
      <w:r w:rsidRPr="000266A1">
        <w:t xml:space="preserve">dieses Urteil aufgehoben und die Sache an das FG zurückverwiesen. </w:t>
      </w:r>
      <w:r>
        <w:t>D</w:t>
      </w:r>
      <w:r w:rsidRPr="000266A1">
        <w:t xml:space="preserve">ie Zweckbetriebseigenschaft einer gemeinnützigen Beschäftigungsgesellschaft </w:t>
      </w:r>
      <w:r>
        <w:t xml:space="preserve">sei nicht </w:t>
      </w:r>
      <w:r w:rsidRPr="000266A1">
        <w:t>bereits dadurch ausgeschlossen, dass der Zweckbetrieb in drei auf</w:t>
      </w:r>
      <w:r>
        <w:softHyphen/>
      </w:r>
      <w:r w:rsidRPr="000266A1">
        <w:t xml:space="preserve">einanderfolgenden Veranlagungszeiträumen </w:t>
      </w:r>
      <w:r w:rsidRPr="00363BB3">
        <w:rPr>
          <w:b/>
          <w:bCs/>
        </w:rPr>
        <w:t>erhebliche Gewinne</w:t>
      </w:r>
      <w:r w:rsidRPr="000266A1">
        <w:t xml:space="preserve"> erziel</w:t>
      </w:r>
      <w:r>
        <w:t>e</w:t>
      </w:r>
      <w:r w:rsidRPr="000266A1">
        <w:t xml:space="preserve">. </w:t>
      </w:r>
      <w:r>
        <w:t>U</w:t>
      </w:r>
      <w:r w:rsidRPr="000266A1">
        <w:t xml:space="preserve">m entscheiden zu können, ob der wirtschaftliche Geschäftsbetrieb </w:t>
      </w:r>
      <w:r>
        <w:t>„</w:t>
      </w:r>
      <w:r w:rsidRPr="000266A1">
        <w:t>Wäscherei</w:t>
      </w:r>
      <w:r>
        <w:t>“</w:t>
      </w:r>
      <w:r w:rsidRPr="000266A1">
        <w:t xml:space="preserve"> die Voraussetzungen eines allgemeinen Zweckbetriebs erfüll</w:t>
      </w:r>
      <w:r>
        <w:t xml:space="preserve">e, </w:t>
      </w:r>
      <w:r w:rsidRPr="000266A1">
        <w:t>s</w:t>
      </w:r>
      <w:r>
        <w:t>e</w:t>
      </w:r>
      <w:r w:rsidRPr="000266A1">
        <w:t>i</w:t>
      </w:r>
      <w:r>
        <w:t>e</w:t>
      </w:r>
      <w:r w:rsidRPr="000266A1">
        <w:t>n jedoch weitere Feststellungen des FG erforderlich.</w:t>
      </w:r>
      <w:r>
        <w:t xml:space="preserve"> </w:t>
      </w:r>
      <w:r w:rsidRPr="000266A1">
        <w:t>Bei Lohnaufträgen einer arbeitstherapeutischen Beschäftigungsgesellschaft w</w:t>
      </w:r>
      <w:r>
        <w:t>e</w:t>
      </w:r>
      <w:r w:rsidRPr="000266A1">
        <w:t>rd</w:t>
      </w:r>
      <w:r>
        <w:t>e</w:t>
      </w:r>
      <w:r w:rsidRPr="000266A1">
        <w:t xml:space="preserve"> ein Zweckbetrieb nur dann begründet, wenn die gegenüber den Auftraggebern erbrachten Leistungen das </w:t>
      </w:r>
      <w:r>
        <w:t>„</w:t>
      </w:r>
      <w:r w:rsidRPr="000266A1">
        <w:t>ausschließliche Ergebnis der Arbeitstherapie und somit notwendige Folge der Erfüllung des gemeinnützigen Zwecks</w:t>
      </w:r>
      <w:r>
        <w:t>“</w:t>
      </w:r>
      <w:r w:rsidRPr="000266A1">
        <w:t xml:space="preserve"> s</w:t>
      </w:r>
      <w:r>
        <w:t>e</w:t>
      </w:r>
      <w:r w:rsidRPr="000266A1">
        <w:t>i</w:t>
      </w:r>
      <w:r>
        <w:t>e</w:t>
      </w:r>
      <w:r w:rsidRPr="000266A1">
        <w:t>n.</w:t>
      </w:r>
    </w:p>
    <w:p w14:paraId="6E45D086" w14:textId="2A13BD5A" w:rsidR="00B91C77" w:rsidRDefault="00B91C77" w:rsidP="00B91C77">
      <w:pPr>
        <w:shd w:val="clear" w:color="auto" w:fill="E6E6E6"/>
        <w:spacing w:after="140"/>
        <w:ind w:left="284"/>
      </w:pPr>
      <w:r>
        <w:rPr>
          <w:b/>
        </w:rPr>
        <w:t>Hinweis:</w:t>
      </w:r>
      <w:r w:rsidRPr="00770178">
        <w:rPr>
          <w:bCs/>
        </w:rPr>
        <w:t xml:space="preserve"> </w:t>
      </w:r>
      <w:r w:rsidRPr="000266A1">
        <w:t xml:space="preserve">Die erforderlichen Feststellungen </w:t>
      </w:r>
      <w:r>
        <w:t xml:space="preserve">muss das </w:t>
      </w:r>
      <w:r w:rsidRPr="000266A1">
        <w:t>FG in einem zweiten Rechtsgang nachholen.</w:t>
      </w:r>
      <w:r>
        <w:t xml:space="preserve"> Dabei wird </w:t>
      </w:r>
      <w:r w:rsidR="008A5B7C">
        <w:t>es</w:t>
      </w:r>
      <w:r w:rsidRPr="000266A1">
        <w:t xml:space="preserve"> zu berücksichtigen haben, dass sich der Geschäftsbetrieb in sei</w:t>
      </w:r>
      <w:r w:rsidRPr="000266A1">
        <w:t>nem Umfang auf eine Marktteilnahme beschränken muss, die zur Erreichung der satzungsmäßigen (steuerbegünstigten) Ziele erforderlich ist.</w:t>
      </w:r>
    </w:p>
    <w:p w14:paraId="075DA449" w14:textId="77777777" w:rsidR="00B91C77" w:rsidRPr="00F450D4" w:rsidRDefault="00B91C77" w:rsidP="00B91C77">
      <w:pPr>
        <w:pStyle w:val="berschrift2"/>
      </w:pPr>
      <w:r w:rsidRPr="00F450D4">
        <w:t>Hilfsmittel</w:t>
      </w:r>
      <w:r>
        <w:tab/>
      </w:r>
    </w:p>
    <w:p w14:paraId="2E7444E2" w14:textId="77777777" w:rsidR="00B91C77" w:rsidRPr="00F450D4" w:rsidRDefault="00B91C77" w:rsidP="00B91C77">
      <w:pPr>
        <w:pStyle w:val="berschrift1"/>
      </w:pPr>
      <w:r>
        <w:t>Eine r</w:t>
      </w:r>
      <w:r w:rsidRPr="00F450D4">
        <w:t>eine Verkaufstätigkeit begründet noch keinen Zweckbetrieb</w:t>
      </w:r>
    </w:p>
    <w:p w14:paraId="3D836D11" w14:textId="30950452" w:rsidR="00B91C77" w:rsidRPr="00B440CA" w:rsidRDefault="00B91C77" w:rsidP="00B91C77">
      <w:pPr>
        <w:spacing w:after="140"/>
      </w:pPr>
      <w:r w:rsidRPr="00F450D4">
        <w:t xml:space="preserve">Gemeinnützige, mildtätige und kirchliche Einrichtungen </w:t>
      </w:r>
      <w:r w:rsidRPr="00B440CA">
        <w:t xml:space="preserve">können mit ihren Umsätzen dem ermäßigten </w:t>
      </w:r>
      <w:r w:rsidRPr="00F339CD">
        <w:rPr>
          <w:b/>
          <w:bCs/>
        </w:rPr>
        <w:t>Umsatzsteuersatz von 7 %</w:t>
      </w:r>
      <w:r w:rsidRPr="00B440CA">
        <w:t xml:space="preserve"> unterliegen. Hiervon ausgenommen sind </w:t>
      </w:r>
      <w:r>
        <w:t>aber</w:t>
      </w:r>
      <w:r w:rsidRPr="00B440CA">
        <w:t xml:space="preserve"> Umsätze, die im Rahmen eines wirtschaftlichen Geschäftsbetriebs erzielt werden (kein Zweckbetrieb).</w:t>
      </w:r>
    </w:p>
    <w:p w14:paraId="75FBEC48" w14:textId="153CD4BB" w:rsidR="00B91C77" w:rsidRDefault="00B91C77" w:rsidP="00B91C77">
      <w:pPr>
        <w:spacing w:after="140"/>
      </w:pPr>
      <w:r>
        <w:t xml:space="preserve">In einem vom </w:t>
      </w:r>
      <w:r w:rsidRPr="00F450D4">
        <w:t>Bundesfinanzhof (BFH)</w:t>
      </w:r>
      <w:r>
        <w:t xml:space="preserve"> entschiedenen Streitfall ging es um e</w:t>
      </w:r>
      <w:r w:rsidRPr="00F450D4">
        <w:t>ine gewerblich tätige GbR, die mit Hilfsmitteln für blinde und sehbehinderte Menschen handelt</w:t>
      </w:r>
      <w:r>
        <w:t>.</w:t>
      </w:r>
      <w:r w:rsidRPr="00F450D4">
        <w:t xml:space="preserve"> </w:t>
      </w:r>
      <w:r>
        <w:t>Da</w:t>
      </w:r>
      <w:r w:rsidRPr="00F450D4">
        <w:t xml:space="preserve">bei </w:t>
      </w:r>
      <w:r>
        <w:t xml:space="preserve">musste sie </w:t>
      </w:r>
      <w:r w:rsidRPr="00F450D4">
        <w:t>den regulären Umsatzsteuersatz von 19 % anwenden</w:t>
      </w:r>
      <w:r>
        <w:t xml:space="preserve">. Vor dem BFH wollte sie </w:t>
      </w:r>
      <w:r w:rsidRPr="00F450D4">
        <w:t>erreichen, dass ein Mitbewerber (</w:t>
      </w:r>
      <w:r w:rsidRPr="00F339CD">
        <w:rPr>
          <w:b/>
          <w:bCs/>
        </w:rPr>
        <w:t>gemeinnütziger Verein</w:t>
      </w:r>
      <w:r w:rsidRPr="00F450D4">
        <w:t xml:space="preserve">) seine Umsätze aus einer gleichartigen Handelstätigkeit statt mit 7 % ebenfalls mit 19 % versteuern muss. Die GbR hatte sich mit einer </w:t>
      </w:r>
      <w:r>
        <w:t>„</w:t>
      </w:r>
      <w:r w:rsidRPr="00F450D4">
        <w:t>Konkurrentenklage</w:t>
      </w:r>
      <w:r>
        <w:t>“</w:t>
      </w:r>
      <w:r w:rsidRPr="00F450D4">
        <w:t xml:space="preserve"> gegen die Anwendung des ermäßigten Umsatzsteuersatzes bei ihrem Mitbewerber gewandt, der als Selbsthilfeorganisation die Interessen von blinden und sehbehinderten Menschen vertr</w:t>
      </w:r>
      <w:r w:rsidR="007879DA">
        <w:t>it</w:t>
      </w:r>
      <w:r w:rsidRPr="00F450D4">
        <w:t>t. In diesem Zusammenhang hatte er - ebenso wie die Klägerin - Hilfsmittel für blinde und sehbehinderte Menschen über ein Ladengeschäft, auf Messen und über das Internet verkauft.</w:t>
      </w:r>
    </w:p>
    <w:p w14:paraId="5CA46E74" w14:textId="54F6F04A" w:rsidR="00B91C77" w:rsidRPr="00F450D4" w:rsidRDefault="00B91C77" w:rsidP="00B91C77">
      <w:pPr>
        <w:spacing w:after="140"/>
      </w:pPr>
      <w:r w:rsidRPr="00F450D4">
        <w:t xml:space="preserve">Das Finanzamt und das Finanzgericht (FG) hatten die Umsätze des Mitbewerbers als ermäßigt </w:t>
      </w:r>
      <w:proofErr w:type="gramStart"/>
      <w:r w:rsidRPr="00F450D4">
        <w:t>zu besteuernde Leistungen</w:t>
      </w:r>
      <w:proofErr w:type="gramEnd"/>
      <w:r w:rsidRPr="00F450D4">
        <w:t xml:space="preserve"> einer Körperschaft eingestuft, die ausschließlich und unmittelbar gemeinnützige Zwecke im Rahmen eines </w:t>
      </w:r>
      <w:r w:rsidRPr="00F339CD">
        <w:rPr>
          <w:b/>
          <w:bCs/>
        </w:rPr>
        <w:t>Zweckbetriebs</w:t>
      </w:r>
      <w:r w:rsidRPr="00F450D4">
        <w:t xml:space="preserve"> verfolgt.</w:t>
      </w:r>
    </w:p>
    <w:p w14:paraId="2B2E525A" w14:textId="47FA5445" w:rsidR="00B91C77" w:rsidRPr="00F450D4" w:rsidRDefault="00B91C77" w:rsidP="00B91C77">
      <w:pPr>
        <w:shd w:val="clear" w:color="auto" w:fill="E6E6E6"/>
        <w:spacing w:after="140"/>
        <w:ind w:left="284"/>
      </w:pPr>
      <w:r w:rsidRPr="00F450D4">
        <w:rPr>
          <w:b/>
          <w:bCs/>
        </w:rPr>
        <w:t>Hinweis:</w:t>
      </w:r>
      <w:r w:rsidRPr="00F450D4">
        <w:t xml:space="preserve"> Einrichtungen, die zur Durchführung der Fürsorge für behinderte Menschen unterhalten werden</w:t>
      </w:r>
      <w:r>
        <w:t>,</w:t>
      </w:r>
      <w:r w:rsidRPr="00F450D4">
        <w:t xml:space="preserve"> gehören </w:t>
      </w:r>
      <w:r>
        <w:t>z</w:t>
      </w:r>
      <w:r w:rsidRPr="00F450D4">
        <w:t>u den steuerlich begünstigten Zweckbetrieben.</w:t>
      </w:r>
    </w:p>
    <w:p w14:paraId="2B1A03FD" w14:textId="439EB58E" w:rsidR="00B91C77" w:rsidRDefault="00B91C77" w:rsidP="00B91C77">
      <w:r>
        <w:t>D</w:t>
      </w:r>
      <w:r w:rsidRPr="00F450D4">
        <w:t xml:space="preserve">as FG </w:t>
      </w:r>
      <w:r>
        <w:t>wies</w:t>
      </w:r>
      <w:r w:rsidRPr="00F450D4">
        <w:t xml:space="preserve"> die Konkurrentenklage der GbR als unbegründet ab</w:t>
      </w:r>
      <w:r>
        <w:t>. D</w:t>
      </w:r>
      <w:r w:rsidRPr="00F450D4">
        <w:t>er BFH h</w:t>
      </w:r>
      <w:r>
        <w:t>at</w:t>
      </w:r>
      <w:r w:rsidRPr="00F450D4">
        <w:t xml:space="preserve"> diese Entscheidung nun jedoch auf</w:t>
      </w:r>
      <w:r>
        <w:t>gehoben. D</w:t>
      </w:r>
      <w:r w:rsidRPr="00F450D4">
        <w:t xml:space="preserve">as FG </w:t>
      </w:r>
      <w:r>
        <w:t xml:space="preserve">habe </w:t>
      </w:r>
      <w:r w:rsidRPr="00F450D4">
        <w:t xml:space="preserve">die Anforderungen an einen begünstigten Zweckbetrieb verkannt und deshalb die Leistungen des Mitbewerbers zu Unrecht als umsatzsteuerbegünstigt beurteilt. Der bloße Verkauf von Blindenhilfsmitteln ist nach Auffassung des BFH nicht steuerbegünstigt, wenn er </w:t>
      </w:r>
      <w:r>
        <w:t xml:space="preserve">nur </w:t>
      </w:r>
      <w:r w:rsidRPr="00F450D4">
        <w:t xml:space="preserve">mit einer </w:t>
      </w:r>
      <w:r w:rsidRPr="00F339CD">
        <w:rPr>
          <w:b/>
          <w:bCs/>
        </w:rPr>
        <w:t>im Fach</w:t>
      </w:r>
      <w:r w:rsidR="00913C49">
        <w:rPr>
          <w:b/>
          <w:bCs/>
        </w:rPr>
        <w:t>einzel</w:t>
      </w:r>
      <w:r w:rsidRPr="00F339CD">
        <w:rPr>
          <w:b/>
          <w:bCs/>
        </w:rPr>
        <w:t>handel</w:t>
      </w:r>
      <w:r w:rsidRPr="007879DA">
        <w:t xml:space="preserve"> </w:t>
      </w:r>
      <w:r w:rsidR="00913C49" w:rsidRPr="007879DA">
        <w:rPr>
          <w:bCs/>
        </w:rPr>
        <w:t>allgemein</w:t>
      </w:r>
      <w:r w:rsidR="00913C49" w:rsidRPr="007879DA">
        <w:t xml:space="preserve"> </w:t>
      </w:r>
      <w:r w:rsidRPr="00F339CD">
        <w:rPr>
          <w:b/>
          <w:bCs/>
        </w:rPr>
        <w:t>üblichen</w:t>
      </w:r>
      <w:r w:rsidRPr="00F450D4">
        <w:t xml:space="preserve">, produkt- und anwendungsbezogenen Beratung einhergeht. Eine für einen Zweckbetrieb erforderliche Blindenfürsorge kann dagegen vorliegen, wenn </w:t>
      </w:r>
    </w:p>
    <w:p w14:paraId="2017CAB8" w14:textId="5C83F1A5" w:rsidR="00B91C77" w:rsidRDefault="00B91C77" w:rsidP="00B91C77">
      <w:pPr>
        <w:pStyle w:val="Aufzhlung"/>
        <w:tabs>
          <w:tab w:val="clear" w:pos="360"/>
        </w:tabs>
        <w:ind w:left="284" w:hanging="284"/>
      </w:pPr>
      <w:r w:rsidRPr="00F450D4">
        <w:lastRenderedPageBreak/>
        <w:t xml:space="preserve">beispielsweise neu erblindeten Personen neben einer reinen </w:t>
      </w:r>
      <w:r w:rsidRPr="00F339CD">
        <w:t>Produktberatung weitere</w:t>
      </w:r>
      <w:r w:rsidR="00913C49">
        <w:t>,</w:t>
      </w:r>
      <w:r w:rsidRPr="00F339CD">
        <w:t xml:space="preserve"> fürsorgeorientierte Hilfestellungen gegeben werden oder </w:t>
      </w:r>
    </w:p>
    <w:p w14:paraId="4BC8A519" w14:textId="77777777" w:rsidR="00B91C77" w:rsidRDefault="00B91C77" w:rsidP="00B91C77">
      <w:pPr>
        <w:pStyle w:val="Aufzhlung"/>
        <w:tabs>
          <w:tab w:val="clear" w:pos="360"/>
        </w:tabs>
        <w:ind w:left="284" w:hanging="284"/>
      </w:pPr>
      <w:r w:rsidRPr="00F339CD">
        <w:t xml:space="preserve">Verkaufstätigkeiten mit einem unentgeltlichen Kursangebot zur Förderung der gemeinnützigen Tätigkeit </w:t>
      </w:r>
      <w:r>
        <w:t>zusammenhängen</w:t>
      </w:r>
      <w:r w:rsidRPr="00F339CD">
        <w:t>.</w:t>
      </w:r>
    </w:p>
    <w:p w14:paraId="6B728905" w14:textId="24DB653F" w:rsidR="00B91C77" w:rsidRPr="00F450D4" w:rsidRDefault="00B91C77" w:rsidP="00B91C77">
      <w:r w:rsidRPr="00F339CD">
        <w:t>Ob etwas Derartiges hier der Fall</w:t>
      </w:r>
      <w:r w:rsidRPr="00F450D4">
        <w:t xml:space="preserve"> ist, muss das FG nun in einem zweiten Rechtsgang klären.</w:t>
      </w:r>
    </w:p>
    <w:p w14:paraId="23FF75F6" w14:textId="77777777" w:rsidR="00B91C77" w:rsidRPr="00FF3D41" w:rsidRDefault="00B91C77" w:rsidP="00B91C77">
      <w:pPr>
        <w:pStyle w:val="berschrift2"/>
      </w:pPr>
      <w:r w:rsidRPr="00FF3D41">
        <w:t>Satzung</w:t>
      </w:r>
      <w:r>
        <w:tab/>
      </w:r>
    </w:p>
    <w:p w14:paraId="1A5D1CA3" w14:textId="075FD3A3" w:rsidR="00B91C77" w:rsidRPr="00C82387" w:rsidRDefault="00B91C77" w:rsidP="00B91C77">
      <w:pPr>
        <w:pStyle w:val="berschrift1"/>
      </w:pPr>
      <w:r w:rsidRPr="00C82387">
        <w:t>Für</w:t>
      </w:r>
      <w:r w:rsidR="000D6453">
        <w:t xml:space="preserve"> die</w:t>
      </w:r>
      <w:r w:rsidRPr="00C82387">
        <w:t xml:space="preserve"> Anerkennung </w:t>
      </w:r>
      <w:r w:rsidRPr="00FF3D41">
        <w:t xml:space="preserve">der </w:t>
      </w:r>
      <w:r w:rsidRPr="00C82387">
        <w:t>Gemein</w:t>
      </w:r>
      <w:r w:rsidR="000D6453">
        <w:softHyphen/>
      </w:r>
      <w:r w:rsidRPr="00C82387">
        <w:t>nützigkeit</w:t>
      </w:r>
      <w:r w:rsidRPr="00FF3D41">
        <w:t xml:space="preserve"> </w:t>
      </w:r>
      <w:r w:rsidRPr="00C82387">
        <w:t xml:space="preserve">gilt </w:t>
      </w:r>
      <w:r w:rsidRPr="00FF3D41">
        <w:t>allein</w:t>
      </w:r>
      <w:r w:rsidRPr="00C82387">
        <w:t xml:space="preserve"> deutsches Recht</w:t>
      </w:r>
    </w:p>
    <w:p w14:paraId="01204A86" w14:textId="5BC6024F" w:rsidR="00B91C77" w:rsidRDefault="00B91C77" w:rsidP="00B91C77">
      <w:r w:rsidRPr="00C82387">
        <w:t xml:space="preserve">Bei der Anerkennung der Gemeinnützigkeit gilt allein deutsches Recht. </w:t>
      </w:r>
      <w:r w:rsidRPr="00FF3D41">
        <w:t xml:space="preserve">Der nationale Gesetzgeber ist unionsrechtlich nicht verpflichtet, einen </w:t>
      </w:r>
      <w:r w:rsidRPr="00094BB2">
        <w:rPr>
          <w:b/>
          <w:bCs/>
        </w:rPr>
        <w:t>Gemeinnützigkeitsstatus</w:t>
      </w:r>
      <w:r w:rsidRPr="00FF3D41">
        <w:t xml:space="preserve"> nach ausländischem Recht anzuerkennen.</w:t>
      </w:r>
      <w:r w:rsidRPr="00C82387">
        <w:t xml:space="preserve"> Das gilt </w:t>
      </w:r>
      <w:r w:rsidRPr="00FF3D41">
        <w:t xml:space="preserve">einer Entscheidung des Bundesfinanzhofs (BFH) zufolge </w:t>
      </w:r>
      <w:r w:rsidRPr="00C82387">
        <w:t xml:space="preserve">unabhängig davon, ob die Körperschaft im In- oder </w:t>
      </w:r>
      <w:r w:rsidR="002F36E1">
        <w:t xml:space="preserve">im </w:t>
      </w:r>
      <w:r w:rsidRPr="00C82387">
        <w:t>Ausland ansässig ist.</w:t>
      </w:r>
    </w:p>
    <w:p w14:paraId="4ED797B9" w14:textId="77777777" w:rsidR="00B91C77" w:rsidRPr="00FF3D41" w:rsidRDefault="00B91C77" w:rsidP="00B91C77">
      <w:r w:rsidRPr="00FF3D41">
        <w:t xml:space="preserve">Im Streitfall ging es um </w:t>
      </w:r>
      <w:r w:rsidRPr="00C82387">
        <w:t xml:space="preserve">eine </w:t>
      </w:r>
      <w:r w:rsidRPr="003E51DA">
        <w:rPr>
          <w:b/>
          <w:bCs/>
        </w:rPr>
        <w:t>österreichische Stiftung</w:t>
      </w:r>
      <w:r w:rsidRPr="00FF3D41">
        <w:t xml:space="preserve">, deren </w:t>
      </w:r>
      <w:r w:rsidRPr="00C82387">
        <w:t>Zweck d</w:t>
      </w:r>
      <w:r w:rsidRPr="00FF3D41">
        <w:t>i</w:t>
      </w:r>
      <w:r w:rsidRPr="00C82387">
        <w:t>e Förderung von Kunst und Kultur</w:t>
      </w:r>
      <w:r w:rsidRPr="00FF3D41">
        <w:t xml:space="preserve"> ist</w:t>
      </w:r>
      <w:r w:rsidRPr="00C82387">
        <w:t xml:space="preserve">. </w:t>
      </w:r>
      <w:r w:rsidRPr="00FF3D41">
        <w:t xml:space="preserve">Nach </w:t>
      </w:r>
      <w:r w:rsidRPr="00C82387">
        <w:t xml:space="preserve">ihrer Satzung verfolgt die Stiftung ausschließlich mildtätige und gemeinnützige Ziele im Sinne der österreichischen Bundesabgabenordnung. </w:t>
      </w:r>
      <w:r w:rsidRPr="00FF3D41">
        <w:t>Laut BFH spielt es aber keine Rolle, d</w:t>
      </w:r>
      <w:r w:rsidRPr="00C82387">
        <w:t>ass sie die österreichischen Normen erfüllt. Für die inländische Steuerbegünstigung ist allein inländisches Recht maßgeblich</w:t>
      </w:r>
      <w:r w:rsidRPr="00FF3D41">
        <w:t>.</w:t>
      </w:r>
    </w:p>
    <w:p w14:paraId="3FE47205" w14:textId="77777777" w:rsidR="00B91C77" w:rsidRPr="00FF3D41" w:rsidRDefault="00B91C77" w:rsidP="00B91C77">
      <w:r w:rsidRPr="00FF3D41">
        <w:t xml:space="preserve">Die Festschreibung des Satzungszwecks und die Art seiner Verwirklichung in der Satzung sollen es der Finanzbehörde ermöglichen, die </w:t>
      </w:r>
      <w:r w:rsidRPr="00094BB2">
        <w:rPr>
          <w:b/>
          <w:bCs/>
        </w:rPr>
        <w:t>Voraussetzungen der Steuervergünstigung</w:t>
      </w:r>
      <w:r w:rsidRPr="00FF3D41">
        <w:t xml:space="preserve"> leicht und einwandfrei zu überprüfen. Dies ist </w:t>
      </w:r>
      <w:r>
        <w:t xml:space="preserve">nach Ansicht des BFH </w:t>
      </w:r>
      <w:r w:rsidRPr="00FF3D41">
        <w:t xml:space="preserve">nicht der Fall, wenn </w:t>
      </w:r>
    </w:p>
    <w:p w14:paraId="39F6F8A4" w14:textId="77777777" w:rsidR="00B91C77" w:rsidRPr="00FF3D41" w:rsidRDefault="00B91C77" w:rsidP="00B91C77">
      <w:pPr>
        <w:pStyle w:val="Aufzhlung"/>
        <w:tabs>
          <w:tab w:val="clear" w:pos="360"/>
        </w:tabs>
        <w:ind w:left="284" w:hanging="284"/>
      </w:pPr>
      <w:r w:rsidRPr="00FF3D41">
        <w:t xml:space="preserve">in der Satzung auf ausländische Regelungen verwiesen wird, die vom nationalen Recht abweichen, und </w:t>
      </w:r>
    </w:p>
    <w:p w14:paraId="52AD88B7" w14:textId="5AFA42B1" w:rsidR="00B91C77" w:rsidRPr="00FF3D41" w:rsidRDefault="00B91C77" w:rsidP="00B91C77">
      <w:pPr>
        <w:pStyle w:val="Aufzhlung"/>
        <w:tabs>
          <w:tab w:val="clear" w:pos="360"/>
        </w:tabs>
        <w:ind w:left="284" w:hanging="284"/>
      </w:pPr>
      <w:r w:rsidRPr="00FF3D41">
        <w:t>sich auch sonst aus der Satzung selbst nicht ergibt, dass die Anforderungen des nationalen Gemeinnützigkeitsrechts gewahrt werden.</w:t>
      </w:r>
    </w:p>
    <w:p w14:paraId="6662A5DA" w14:textId="3DD6751E" w:rsidR="00B91C77" w:rsidRPr="00FF3D41" w:rsidRDefault="00B91C77" w:rsidP="00B91C77">
      <w:r w:rsidRPr="00FF3D41">
        <w:t xml:space="preserve">Darüber hinaus hat der BFH entschieden, dass die Satzung gegen das </w:t>
      </w:r>
      <w:r w:rsidRPr="00094BB2">
        <w:rPr>
          <w:b/>
          <w:bCs/>
        </w:rPr>
        <w:t>Gebot der Ausschließlichkeit</w:t>
      </w:r>
      <w:r w:rsidRPr="00FF3D41">
        <w:t xml:space="preserve"> verstößt, wenn nach den Angaben in der Satzung neben einem begünstigten Zweck ein nichtbegünstigter Zweck verfolgt wird.</w:t>
      </w:r>
    </w:p>
    <w:p w14:paraId="71818012" w14:textId="77777777" w:rsidR="00B91C77" w:rsidRDefault="00B91C77" w:rsidP="00B91C77">
      <w:pPr>
        <w:shd w:val="clear" w:color="auto" w:fill="E6E6E6"/>
        <w:spacing w:after="140"/>
        <w:ind w:left="284"/>
      </w:pPr>
      <w:r>
        <w:rPr>
          <w:b/>
        </w:rPr>
        <w:t>Hinweis:</w:t>
      </w:r>
      <w:r>
        <w:t xml:space="preserve"> Lassen Sie Ihre Satzung immer wieder daraufhin prüfen, ob sie (noch) den aktuellen Anforderungen entspricht. Setzen Sie dabei auf unsere Expertise, um vor bösen Überraschungen geschützt zu sein.</w:t>
      </w:r>
    </w:p>
    <w:p w14:paraId="101B379D" w14:textId="77777777" w:rsidR="00B91C77" w:rsidRPr="00F450D4" w:rsidRDefault="00B91C77" w:rsidP="00B91C77">
      <w:pPr>
        <w:pStyle w:val="berschrift2"/>
      </w:pPr>
      <w:r w:rsidRPr="00F450D4">
        <w:t>Taxischein</w:t>
      </w:r>
      <w:r>
        <w:tab/>
      </w:r>
    </w:p>
    <w:p w14:paraId="7F314C49" w14:textId="77777777" w:rsidR="00B91C77" w:rsidRPr="00F450D4" w:rsidRDefault="00B91C77" w:rsidP="00B91C77">
      <w:pPr>
        <w:pStyle w:val="berschrift1"/>
      </w:pPr>
      <w:r w:rsidRPr="00F450D4">
        <w:t>Ortskundeprüfung kann umsatzsteuerfrei durchgeführt werden</w:t>
      </w:r>
    </w:p>
    <w:p w14:paraId="21488CF3" w14:textId="36EF30F2" w:rsidR="00B91C77" w:rsidRPr="00F450D4" w:rsidRDefault="00B91C77" w:rsidP="00B91C77">
      <w:r w:rsidRPr="00F450D4">
        <w:t xml:space="preserve">Vorträge, Kurse und andere Veranstaltungen wissenschaftlicher oder belehrender Art sind umsatzsteuerfrei, wenn sie </w:t>
      </w:r>
      <w:r w:rsidR="001D4C6A">
        <w:t>zum B</w:t>
      </w:r>
      <w:r w:rsidRPr="00F450D4">
        <w:t xml:space="preserve">eispiel von Einrichtungen durchgeführt werden, die dem Zweck eines Berufsverbands dienen. </w:t>
      </w:r>
      <w:r>
        <w:t>V</w:t>
      </w:r>
      <w:r w:rsidRPr="00F450D4">
        <w:t>oraus</w:t>
      </w:r>
      <w:r>
        <w:t>setzung ist</w:t>
      </w:r>
      <w:r w:rsidRPr="00F450D4">
        <w:t>, dass die Einnahmen aus den Prüfungen überwiegend zur Deckung der Kosten verwendet werden.</w:t>
      </w:r>
    </w:p>
    <w:p w14:paraId="775406A3" w14:textId="72764A2F" w:rsidR="00B91C77" w:rsidRPr="00F450D4" w:rsidRDefault="00B91C77" w:rsidP="00B91C77">
      <w:r w:rsidRPr="00F450D4">
        <w:t xml:space="preserve">Ein Berufsverband hat sich kürzlich vor dem Bundesfinanzhof (BFH) auf diese Umsatzsteuerbefreiung für von ihm durchgeführte Ortskundeprüfungen für angehende Taxifahrer berufen. Die Prüfung war Voraussetzung, um eine Erlaubnis zur Fahrgastbeförderung mit Taxen zu erhalten. Das Finanzamt ging nach einer Umsatzsteuer-Sonderprüfung davon aus, dass Ortskundeprüfungen eine </w:t>
      </w:r>
      <w:r w:rsidRPr="00F450D4">
        <w:rPr>
          <w:b/>
          <w:bCs/>
        </w:rPr>
        <w:t>umsatzsteuerpflichtige Leistung</w:t>
      </w:r>
      <w:r w:rsidRPr="00F450D4">
        <w:t xml:space="preserve"> sind. </w:t>
      </w:r>
      <w:r w:rsidR="00ED7E8C">
        <w:t>N</w:t>
      </w:r>
      <w:r w:rsidRPr="00F450D4">
        <w:t xml:space="preserve">ur </w:t>
      </w:r>
      <w:r w:rsidR="00ED7E8C">
        <w:t>eine der Prüfung</w:t>
      </w:r>
      <w:r w:rsidR="00ED7E8C" w:rsidRPr="00F450D4">
        <w:t xml:space="preserve"> </w:t>
      </w:r>
      <w:r w:rsidRPr="00F450D4">
        <w:t xml:space="preserve">vorhergehende Schulung der Taxifahrer </w:t>
      </w:r>
      <w:r w:rsidR="00ED7E8C">
        <w:t xml:space="preserve">könne </w:t>
      </w:r>
      <w:r w:rsidRPr="00F450D4">
        <w:t>umsatzsteuerfrei sein, nicht jedoch die Prüfungsleistung als solche, weil mit ihr keine Kenntnisse und Fähigkeiten mehr vermittelt w</w:t>
      </w:r>
      <w:r>
        <w:t>ü</w:t>
      </w:r>
      <w:r w:rsidRPr="00F450D4">
        <w:t>rden.</w:t>
      </w:r>
    </w:p>
    <w:p w14:paraId="6D8F9C8A" w14:textId="05B02CA6" w:rsidR="00B91C77" w:rsidRPr="00F450D4" w:rsidRDefault="00B91C77" w:rsidP="00B91C77">
      <w:r w:rsidRPr="00F450D4">
        <w:t xml:space="preserve">Der BFH </w:t>
      </w:r>
      <w:r>
        <w:t xml:space="preserve">hat </w:t>
      </w:r>
      <w:r w:rsidRPr="00F450D4">
        <w:t xml:space="preserve">dem Berufsverband die für Vortrags- und Kursleistungen bestehende Umsatzsteuerbefreiung </w:t>
      </w:r>
      <w:r>
        <w:t xml:space="preserve">jedoch </w:t>
      </w:r>
      <w:r w:rsidRPr="00F450D4">
        <w:t>zu</w:t>
      </w:r>
      <w:r>
        <w:t>gestanden</w:t>
      </w:r>
      <w:r w:rsidRPr="00F450D4">
        <w:t xml:space="preserve">. Die Ortskundeprüfung </w:t>
      </w:r>
      <w:r>
        <w:t xml:space="preserve">sei </w:t>
      </w:r>
      <w:r w:rsidRPr="00F450D4">
        <w:t xml:space="preserve">eine </w:t>
      </w:r>
      <w:r w:rsidRPr="00F450D4">
        <w:rPr>
          <w:b/>
          <w:bCs/>
        </w:rPr>
        <w:t>Schulungsmaßnahme</w:t>
      </w:r>
      <w:r w:rsidRPr="00F450D4">
        <w:t xml:space="preserve"> mit direktem Bezug zu einem Beruf und </w:t>
      </w:r>
      <w:r>
        <w:t xml:space="preserve">müsse </w:t>
      </w:r>
      <w:r w:rsidRPr="00F450D4">
        <w:t>daher nach EU-Recht steuerfrei belassen werden</w:t>
      </w:r>
      <w:r>
        <w:t>.</w:t>
      </w:r>
      <w:r w:rsidRPr="00F450D4">
        <w:t xml:space="preserve"> Sie stell</w:t>
      </w:r>
      <w:r>
        <w:t>e</w:t>
      </w:r>
      <w:r w:rsidRPr="00F450D4">
        <w:t xml:space="preserve"> sich als Schlusspunkt und notwendiger Bestandteil einer Schulungsmaßnahme zum Beruf des Taxisfahrers dar. Auch </w:t>
      </w:r>
      <w:r>
        <w:t xml:space="preserve">habe der </w:t>
      </w:r>
      <w:r w:rsidRPr="00F450D4">
        <w:t>Berufsverband die Einnahmen überwiegend zur Kostendeckung eingesetzt</w:t>
      </w:r>
      <w:r>
        <w:t xml:space="preserve">. Denn </w:t>
      </w:r>
      <w:r w:rsidRPr="00F450D4">
        <w:t xml:space="preserve">die Gebühren </w:t>
      </w:r>
      <w:r>
        <w:t xml:space="preserve">hätten sich </w:t>
      </w:r>
      <w:r w:rsidRPr="00F450D4">
        <w:t xml:space="preserve">aus einer Gebührenordnung ergeben, deren Gebührensätze </w:t>
      </w:r>
      <w:r>
        <w:t>nur</w:t>
      </w:r>
      <w:r w:rsidRPr="00F450D4">
        <w:t xml:space="preserve"> zur Deckung von Personal- und Sachaufwand kalkuliert worden </w:t>
      </w:r>
      <w:r>
        <w:t>seien</w:t>
      </w:r>
      <w:r w:rsidRPr="00F450D4">
        <w:t>.</w:t>
      </w:r>
    </w:p>
    <w:p w14:paraId="397547C1" w14:textId="77777777" w:rsidR="00B91C77" w:rsidRDefault="00B91C77" w:rsidP="00B91C77">
      <w:pPr>
        <w:pStyle w:val="berschrift2"/>
      </w:pPr>
      <w:r>
        <w:t>Pflegemutter</w:t>
      </w:r>
      <w:r>
        <w:tab/>
      </w:r>
    </w:p>
    <w:p w14:paraId="634E870F" w14:textId="77777777" w:rsidR="00B91C77" w:rsidRDefault="00B91C77" w:rsidP="00B91C77">
      <w:pPr>
        <w:pStyle w:val="berschrift1"/>
      </w:pPr>
      <w:r>
        <w:t xml:space="preserve">Kann finanzielle Anerkennung eine </w:t>
      </w:r>
      <w:r>
        <w:br/>
        <w:t>verdeckte Entlohnung sein?</w:t>
      </w:r>
    </w:p>
    <w:p w14:paraId="56A04362" w14:textId="0890113C" w:rsidR="00B91C77" w:rsidRDefault="00B91C77" w:rsidP="00B91C77">
      <w:r>
        <w:t xml:space="preserve">Eine vom Träger der Jugendhilfe beauftragte Pflegemutter nimmt ihre Tätigkeit im sozialrechtlichen Sinne </w:t>
      </w:r>
      <w:r w:rsidRPr="00DC568D">
        <w:rPr>
          <w:b/>
          <w:bCs/>
        </w:rPr>
        <w:t>ehrenamtlich</w:t>
      </w:r>
      <w:r>
        <w:t xml:space="preserve"> wahr, solange nicht besondere Umstände für eine verdeckte Entlohnung einer Erwerbsarbeit sprechen. Ein solcher Umstand ist namentlich die Höhe der ihr dafür gewährten finanziellen Anerkennung. So lässt sich ein Urteil des Landessozialgerichts Niedersachsen-Bremen (LSG) zusammenfassen.</w:t>
      </w:r>
    </w:p>
    <w:p w14:paraId="3A5D8FC0" w14:textId="5D45E6E2" w:rsidR="00C932C6" w:rsidRDefault="00B91C77" w:rsidP="00B91C77">
      <w:pPr>
        <w:sectPr w:rsidR="00C932C6">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r>
        <w:t>Im Urteilsfall hatte die Klägerin mit dem Träger der Jugendhilfe eine Vereinbarung über die vor</w:t>
      </w:r>
      <w:r>
        <w:softHyphen/>
        <w:t>übergehende Aufnahme minderjähriger Kinder</w:t>
      </w:r>
    </w:p>
    <w:p w14:paraId="7DBB6961" w14:textId="5CE991B6" w:rsidR="00B91C77" w:rsidRDefault="00B91C77" w:rsidP="00B91C77">
      <w:r>
        <w:lastRenderedPageBreak/>
        <w:t xml:space="preserve">bis zum Alter von zwölf Jahren geschlossen. Der Träger zahlte ihr auch ohne </w:t>
      </w:r>
      <w:r w:rsidR="001D4C6A">
        <w:t xml:space="preserve">die </w:t>
      </w:r>
      <w:r>
        <w:t xml:space="preserve">Zuweisung von Pflegekindern ein heilpädagogisches </w:t>
      </w:r>
      <w:r w:rsidRPr="00F52A53">
        <w:rPr>
          <w:b/>
          <w:bCs/>
        </w:rPr>
        <w:t>Pflegekindergeld</w:t>
      </w:r>
      <w:r>
        <w:t xml:space="preserve"> von zunächst monatlich 305 €. Bei </w:t>
      </w:r>
      <w:r w:rsidR="001D4C6A">
        <w:t xml:space="preserve">der </w:t>
      </w:r>
      <w:r>
        <w:t xml:space="preserve">Aufnahme von Kindern erhielt sie zusätzlich ein Pflegekindergeld, abgestuft nach deren Alter, zwischen 473 € und 628 € sowie </w:t>
      </w:r>
      <w:r w:rsidR="001D4C6A">
        <w:t xml:space="preserve">darüber hinaus </w:t>
      </w:r>
      <w:r>
        <w:t>440 € pro Monat, die die Kosten der Erziehung abdecken sollten.</w:t>
      </w:r>
    </w:p>
    <w:p w14:paraId="19C6AD05" w14:textId="681C39B7" w:rsidR="00B91C77" w:rsidRDefault="00B91C77" w:rsidP="00B91C77">
      <w:r>
        <w:t xml:space="preserve">Die Klägerin war der Ansicht, dass ihre Tätigkeit als Pflegemutter bei dem Träger </w:t>
      </w:r>
      <w:r w:rsidRPr="00F52A53">
        <w:rPr>
          <w:b/>
          <w:bCs/>
        </w:rPr>
        <w:t>sozialversicherungspflichtig</w:t>
      </w:r>
      <w:r>
        <w:t xml:space="preserve"> ist, und begehrte die entsprechende Feststellung auf dem Klageweg. Das Sozialgericht wies die Klage ab; das LSG hielt die Berufung der Klägerin für unbegründet. Nach Ansicht der Richter handelte es sich hier um eine pauschale Aufwandsentschädigung und nicht um eine (verdeckte) Entlohnung. Die Zahlungen hätten vorrangig dem Zweck</w:t>
      </w:r>
      <w:r w:rsidRPr="002900FA">
        <w:t xml:space="preserve"> </w:t>
      </w:r>
      <w:r>
        <w:t>gedient, die durch die Pflege verursachten Kosten abzudecken</w:t>
      </w:r>
      <w:r w:rsidR="00431940">
        <w:t>,</w:t>
      </w:r>
      <w:r>
        <w:t xml:space="preserve"> und nur untergeordnet</w:t>
      </w:r>
      <w:r w:rsidR="00431940">
        <w:t>,</w:t>
      </w:r>
      <w:r>
        <w:t xml:space="preserve"> eine Entschädigung für den Erziehungsaufwand zu leisten. Auch die Höhe der Zahlungen lege eine (verdeckte) Vergütung nicht nahe, da diese mit 21 €</w:t>
      </w:r>
      <w:r w:rsidR="00431940">
        <w:t xml:space="preserve"> pro </w:t>
      </w:r>
      <w:r>
        <w:t xml:space="preserve">Tag und Kind weit unter dem Tariflohn bzw. Mindestlohn abhängig </w:t>
      </w:r>
      <w:proofErr w:type="spellStart"/>
      <w:r>
        <w:t>beschäftigter</w:t>
      </w:r>
      <w:proofErr w:type="spellEnd"/>
      <w:r>
        <w:t xml:space="preserve"> Kräfte gelegen habe. Die Zahlungen hätten mithin lediglich eine gewisse finanzielle Anerkennung der ehrenamtlichen Tätigkeit bewirkt, jedoch kein entgeltliches Beschäftigungsverhältnis begründet.</w:t>
      </w:r>
    </w:p>
    <w:p w14:paraId="75E8592D" w14:textId="77777777" w:rsidR="00B91C77" w:rsidRDefault="00B91C77" w:rsidP="00B91C77">
      <w:pPr>
        <w:shd w:val="clear" w:color="auto" w:fill="E6E6E6"/>
        <w:spacing w:after="140"/>
        <w:ind w:left="284"/>
      </w:pPr>
      <w:r w:rsidRPr="002900FA">
        <w:rPr>
          <w:b/>
          <w:bCs/>
        </w:rPr>
        <w:t>Hinweis:</w:t>
      </w:r>
      <w:r>
        <w:t xml:space="preserve"> Das LSG verwies ergänzend auf die steuerliche Bewertung. Danach wird eine Erwerbstätigkeit bei Pflegetätigkeiten erst bei einer Anzahl von sieben Kindern vermutet.</w:t>
      </w:r>
    </w:p>
    <w:p w14:paraId="6DB214AC" w14:textId="77777777" w:rsidR="00B91C77" w:rsidRDefault="00B91C77" w:rsidP="00B91C77">
      <w:r>
        <w:t>Der Umstand, dass Absprachen zwischen der Klägerin und Mitarbeitern des Trägers erfolgt seien, sei der Struktur der Tätigkeit geschuldet gewesen und auch ehrenamtlicher Tätigkeit nicht fremd. Zudem lag keine Eingliederung der Klägerin in den Betrieb des Trägers vor.</w:t>
      </w:r>
    </w:p>
    <w:p w14:paraId="63CFF81A" w14:textId="77777777" w:rsidR="00B91C77" w:rsidRDefault="00B91C77" w:rsidP="00B91C77">
      <w:pPr>
        <w:pStyle w:val="berschrift2"/>
      </w:pPr>
      <w:r>
        <w:t>Steuertipp</w:t>
      </w:r>
      <w:r>
        <w:tab/>
      </w:r>
    </w:p>
    <w:p w14:paraId="3C6DF3C2" w14:textId="77777777" w:rsidR="00B91C77" w:rsidRDefault="00B91C77" w:rsidP="00B91C77">
      <w:pPr>
        <w:pStyle w:val="berschrift1"/>
      </w:pPr>
      <w:bookmarkStart w:id="1" w:name="_Hlk129018345"/>
      <w:r>
        <w:t>Vereine können den Erdbebenopfern in der Türkei und in Syrien helfen!</w:t>
      </w:r>
      <w:bookmarkEnd w:id="1"/>
    </w:p>
    <w:p w14:paraId="612D2C0C" w14:textId="660D4D29" w:rsidR="00B91C77" w:rsidRDefault="00000000" w:rsidP="00B91C77">
      <w:r>
        <w:rPr>
          <w:noProof/>
        </w:rPr>
        <w:pict w14:anchorId="41D3E63E">
          <v:shapetype id="_x0000_t202" coordsize="21600,21600" o:spt="202" path="m,l,21600r21600,l21600,xe">
            <v:stroke joinstyle="miter"/>
            <v:path gradientshapeok="t" o:connecttype="rect"/>
          </v:shapetype>
          <v:shape id="_x0000_s2059" type="#_x0000_t202" style="position:absolute;left:0;text-align:left;margin-left:-7.3pt;margin-top:126.7pt;width:492pt;height:60pt;flip:y;z-index:1" filled="f" stroked="f">
            <v:textbox style="mso-next-textbox:#_x0000_s2059">
              <w:txbxContent>
                <w:p w14:paraId="07BE3A60" w14:textId="77777777" w:rsidR="008A5553" w:rsidRDefault="008A5553" w:rsidP="008A5553">
                  <w:pPr>
                    <w:tabs>
                      <w:tab w:val="right" w:pos="9498"/>
                    </w:tabs>
                    <w:spacing w:after="40" w:line="170" w:lineRule="exact"/>
                    <w:rPr>
                      <w:rFonts w:ascii="Arial" w:hAnsi="Arial"/>
                      <w:sz w:val="16"/>
                    </w:rPr>
                  </w:pPr>
                  <w:r>
                    <w:rPr>
                      <w:rFonts w:ascii="Arial" w:hAnsi="Arial"/>
                      <w:spacing w:val="-2"/>
                      <w:sz w:val="16"/>
                      <w:szCs w:val="16"/>
                    </w:rPr>
                    <w:t>                                                                                                                                                                                                                                                                                                                                                                                                                                                                                                                                                                                                                                                                                                                                                                                                                                                                                                                                                                                                                                                                                                        </w:t>
                  </w:r>
                </w:p>
                <w:p w14:paraId="27D221C2" w14:textId="77777777" w:rsidR="008A5553" w:rsidRDefault="008A5553" w:rsidP="008A5553">
                  <w:pPr>
                    <w:tabs>
                      <w:tab w:val="right" w:pos="9498"/>
                    </w:tabs>
                    <w:spacing w:after="40" w:line="170" w:lineRule="exact"/>
                    <w:jc w:val="right"/>
                  </w:pPr>
                  <w:r>
                    <w:rPr>
                      <w:rFonts w:ascii="Arial" w:hAnsi="Arial"/>
                      <w:sz w:val="16"/>
                    </w:rPr>
                    <w:t>Alle Informationen nach bestem Wissen, jedoch ohne Gewähr. Diese Information ersetzt nicht die individuelle Beratung!</w:t>
                  </w:r>
                </w:p>
              </w:txbxContent>
            </v:textbox>
          </v:shape>
        </w:pict>
      </w:r>
      <w:r w:rsidR="00B91C77">
        <w:t xml:space="preserve">Das </w:t>
      </w:r>
      <w:r w:rsidR="00B91C77">
        <w:rPr>
          <w:rStyle w:val="searchword"/>
        </w:rPr>
        <w:t>Erdbeben</w:t>
      </w:r>
      <w:r w:rsidR="00B91C77">
        <w:t xml:space="preserve"> in der Türkei und in Syrien im Februar 2023 hat sehr großes menschliches Leid </w:t>
      </w:r>
      <w:r w:rsidR="00B91C77" w:rsidRPr="00356089">
        <w:t>und</w:t>
      </w:r>
      <w:r w:rsidR="00B91C77">
        <w:t xml:space="preserve"> massive Schäden an der Infrastruktur verursacht. Wegen der hohen Anteilnahme und Spendenbereitschaft in der Bevölkerung hat das Bundesfinanzministerium </w:t>
      </w:r>
      <w:r w:rsidR="008A5553">
        <w:t xml:space="preserve">(BMF) </w:t>
      </w:r>
      <w:r w:rsidR="00B91C77">
        <w:t xml:space="preserve">die der Unterstützung der Betroffenen des </w:t>
      </w:r>
      <w:r w:rsidR="00B91C77">
        <w:rPr>
          <w:rStyle w:val="searchword"/>
        </w:rPr>
        <w:t>Erdbebens</w:t>
      </w:r>
      <w:r w:rsidR="00B91C77">
        <w:t xml:space="preserve"> in der Türkei und in Syrien dienenden Verwaltungsregelungen zusammengefasst. </w:t>
      </w:r>
      <w:r w:rsidR="008A5553">
        <w:t>D</w:t>
      </w:r>
      <w:r w:rsidR="00B91C77">
        <w:t xml:space="preserve">ie </w:t>
      </w:r>
      <w:r w:rsidR="008A5553">
        <w:t xml:space="preserve">vom BMF getroffenen Regelungen </w:t>
      </w:r>
      <w:r w:rsidR="00B91C77">
        <w:t>gelten für Unterstützungsmaßnah</w:t>
      </w:r>
      <w:r w:rsidR="00B91C77">
        <w:t xml:space="preserve">men, die </w:t>
      </w:r>
      <w:r w:rsidR="00B91C77" w:rsidRPr="008A5553">
        <w:rPr>
          <w:b/>
          <w:bCs/>
        </w:rPr>
        <w:t>vom 06.02. bis zum 31.12.2023</w:t>
      </w:r>
      <w:r w:rsidR="00B91C77">
        <w:t xml:space="preserve"> durchgeführt werden.</w:t>
      </w:r>
    </w:p>
    <w:p w14:paraId="1CFFA8A5" w14:textId="77777777" w:rsidR="00B91C77" w:rsidRDefault="00B91C77" w:rsidP="00B91C77">
      <w:r w:rsidRPr="00356089">
        <w:t>Amtlich anerkannte Verbände der freien Wohlfahrtspflege und</w:t>
      </w:r>
      <w:r>
        <w:t xml:space="preserve"> ihre Mitgliedsorganisationen können für Spenden </w:t>
      </w:r>
      <w:r>
        <w:rPr>
          <w:b/>
        </w:rPr>
        <w:t>Sonderkonten</w:t>
      </w:r>
      <w:r>
        <w:t xml:space="preserve"> einrichten. Die sonst erforderliche Zuwendungsbestätigung ist hier nicht nötig, so dass der </w:t>
      </w:r>
      <w:r w:rsidRPr="001D4C6A">
        <w:rPr>
          <w:bCs/>
        </w:rPr>
        <w:t>vereinfachte Zuwendungsnachweis ausreicht.</w:t>
      </w:r>
      <w:r>
        <w:t xml:space="preserve"> Dies gilt für Spenden von bis zu 300 €.</w:t>
      </w:r>
    </w:p>
    <w:p w14:paraId="16F58514" w14:textId="77777777" w:rsidR="00B91C77" w:rsidRDefault="00B91C77" w:rsidP="00B91C77">
      <w:pPr>
        <w:shd w:val="clear" w:color="auto" w:fill="E6E6E6"/>
        <w:spacing w:after="140"/>
        <w:ind w:left="284"/>
      </w:pPr>
      <w:r>
        <w:rPr>
          <w:b/>
        </w:rPr>
        <w:t>Hinweis:</w:t>
      </w:r>
      <w:r>
        <w:t xml:space="preserve"> Der Bareinzahlungsbeleg oder die Buchungsbestätigung (Kontoauszug/PC-Aus</w:t>
      </w:r>
      <w:r>
        <w:softHyphen/>
        <w:t>druck bei Onlinebanking) gelten als vereinfachter Zuwendungsnachweis.</w:t>
      </w:r>
    </w:p>
    <w:p w14:paraId="63FF2083" w14:textId="77777777" w:rsidR="00B91C77" w:rsidRDefault="00B91C77" w:rsidP="00B91C77">
      <w:r>
        <w:t>Bis ein Sonderkonto eingerichtet wird, können auch andere Konten genutzt werden.</w:t>
      </w:r>
    </w:p>
    <w:p w14:paraId="4D8F3009" w14:textId="683BAAE6" w:rsidR="00B91C77" w:rsidRDefault="00B91C77" w:rsidP="00B91C77">
      <w:r w:rsidRPr="00356089">
        <w:t xml:space="preserve">Vereine, die </w:t>
      </w:r>
      <w:r>
        <w:t xml:space="preserve">zum Beispiel keine mildtätigen Zwecke verfolgen, </w:t>
      </w:r>
      <w:r w:rsidRPr="00356089">
        <w:t xml:space="preserve">können ebenfalls Spendenaktionen zugunsten der vom Erdbeben betroffenen Menschen durchführen und diese Mittel an die entsprechenden Stellen weiterleiten. Bei den Zuwendungsbestätigungen </w:t>
      </w:r>
      <w:r>
        <w:t>ist</w:t>
      </w:r>
      <w:r w:rsidRPr="00356089">
        <w:t xml:space="preserve"> ausdrücklich</w:t>
      </w:r>
      <w:r>
        <w:t xml:space="preserve"> auf diese </w:t>
      </w:r>
      <w:r>
        <w:rPr>
          <w:b/>
        </w:rPr>
        <w:t>Sonderaktion</w:t>
      </w:r>
      <w:r w:rsidRPr="00367BA1">
        <w:rPr>
          <w:bCs/>
        </w:rPr>
        <w:t xml:space="preserve"> </w:t>
      </w:r>
      <w:r w:rsidRPr="00356089">
        <w:rPr>
          <w:bCs/>
        </w:rPr>
        <w:t>hin</w:t>
      </w:r>
      <w:r>
        <w:rPr>
          <w:bCs/>
        </w:rPr>
        <w:t>zu</w:t>
      </w:r>
      <w:r w:rsidRPr="00356089">
        <w:rPr>
          <w:bCs/>
        </w:rPr>
        <w:t>weisen</w:t>
      </w:r>
      <w:r>
        <w:t>.</w:t>
      </w:r>
    </w:p>
    <w:p w14:paraId="09329912" w14:textId="6EF067F5" w:rsidR="00B91C77" w:rsidRDefault="007879DA" w:rsidP="00B91C77">
      <w:r>
        <w:t xml:space="preserve">Dritte und </w:t>
      </w:r>
      <w:r w:rsidR="00B91C77">
        <w:t>Organisationen</w:t>
      </w:r>
      <w:r w:rsidR="00B91C77" w:rsidRPr="00367BA1">
        <w:t xml:space="preserve">, die nicht als gemeinnützig anerkannt sind, können </w:t>
      </w:r>
      <w:r w:rsidR="00B91C77" w:rsidRPr="00367BA1">
        <w:rPr>
          <w:b/>
          <w:bCs/>
        </w:rPr>
        <w:t>Sammelaktionen</w:t>
      </w:r>
      <w:r w:rsidR="00B91C77" w:rsidRPr="00367BA1">
        <w:t xml:space="preserve"> durchführen. Hier muss ein Treuhandkonto eingerichtet werden, auf </w:t>
      </w:r>
      <w:r w:rsidR="00B91C77">
        <w:t>da</w:t>
      </w:r>
      <w:r w:rsidR="00B91C77" w:rsidRPr="00367BA1">
        <w:t xml:space="preserve">s die Spenden geleistet werden können. Diese Mittel können dann weitergeleitet werden. Zur Erstellung von Zuwendungsbestätigungen muss dem Zuwendungsempfänger eine Liste </w:t>
      </w:r>
      <w:r w:rsidR="00B91C77">
        <w:t xml:space="preserve">mit den einzelnen Spendern und </w:t>
      </w:r>
      <w:r w:rsidR="00EA51A3">
        <w:t xml:space="preserve">ihrem </w:t>
      </w:r>
      <w:r w:rsidR="00B91C77">
        <w:t>jeweiligen Anteil an der Spendensumme übergeben werden.</w:t>
      </w:r>
    </w:p>
    <w:p w14:paraId="75270C2C" w14:textId="77777777" w:rsidR="00B91C77" w:rsidRDefault="00B91C77" w:rsidP="00B91C77">
      <w:r w:rsidRPr="00367BA1">
        <w:t>Arbeitnehmer</w:t>
      </w:r>
      <w:r>
        <w:t xml:space="preserve"> können auf Teile ihres </w:t>
      </w:r>
      <w:r>
        <w:rPr>
          <w:b/>
        </w:rPr>
        <w:t>Arbeitslohns</w:t>
      </w:r>
      <w:r>
        <w:t xml:space="preserve"> oder eines angesammelten Wertguthabens zugunsten einer Zahlung des Arbeitgebers auf ein Spendenkonto einer spendenempfangsberechtigten </w:t>
      </w:r>
      <w:r w:rsidRPr="00367BA1">
        <w:t>Körperschaft verzichten. Diese Teile bleiben bei der Feststellung des steuerpflichtigen Arbeitslohns außer Ansatz. Der Arbeitgeber muss dies im Lohnkonto</w:t>
      </w:r>
      <w:r>
        <w:t xml:space="preserve"> aufzeichnen. Auf diese Aufzeichnung kann verzichtet werden, wenn stattdessen der Arbeitnehmer seinen Verzicht schriftlich erteilt hat und diese Erklärung zum Lohnkonto genommen worden ist.</w:t>
      </w:r>
    </w:p>
    <w:p w14:paraId="760ADC82" w14:textId="77777777" w:rsidR="00B91C77" w:rsidRDefault="00B91C77" w:rsidP="00B91C77">
      <w:pPr>
        <w:shd w:val="clear" w:color="auto" w:fill="E6E6E6"/>
        <w:spacing w:after="140"/>
        <w:ind w:left="284"/>
      </w:pPr>
      <w:r>
        <w:rPr>
          <w:b/>
        </w:rPr>
        <w:t>Hinweis:</w:t>
      </w:r>
      <w:r>
        <w:t xml:space="preserve"> Neben der dringend erforderlichen Hilfe für die Erdbebenopfer können Sie mit Sonderaktionen auf Ihren Verein und sein Engagement hinweisen.</w:t>
      </w:r>
    </w:p>
    <w:p w14:paraId="693627F3" w14:textId="77777777" w:rsidR="00BE1449" w:rsidRPr="0014209D" w:rsidRDefault="00F91FB1" w:rsidP="0014209D">
      <w:pPr>
        <w:jc w:val="right"/>
      </w:pPr>
      <w:r w:rsidRPr="0014209D">
        <w:t>Mit freundlichen Grüßen</w:t>
      </w:r>
    </w:p>
    <w:p w14:paraId="5DA7739C" w14:textId="77777777" w:rsidR="00D94A15" w:rsidRPr="0014209D" w:rsidRDefault="00D94A15" w:rsidP="0014209D">
      <w:pPr>
        <w:jc w:val="right"/>
      </w:pPr>
    </w:p>
    <w:p w14:paraId="7C0B1BCF" w14:textId="77777777" w:rsidR="00F91FB1" w:rsidRPr="0014209D" w:rsidRDefault="00F91FB1" w:rsidP="0014209D">
      <w:pPr>
        <w:jc w:val="right"/>
      </w:pPr>
    </w:p>
    <w:p w14:paraId="5136C2DE" w14:textId="77777777" w:rsidR="00BE31C5" w:rsidRPr="0014209D" w:rsidRDefault="00BE31C5" w:rsidP="0014209D">
      <w:pPr>
        <w:jc w:val="right"/>
      </w:pPr>
    </w:p>
    <w:sectPr w:rsidR="00BE31C5" w:rsidRPr="0014209D" w:rsidSect="00BE1449">
      <w:headerReference w:type="even" r:id="rId10"/>
      <w:headerReference w:type="default" r:id="rId11"/>
      <w:footerReference w:type="default" r:id="rId12"/>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EFF75" w14:textId="77777777" w:rsidR="000A1ADC" w:rsidRDefault="000A1ADC">
      <w:r>
        <w:separator/>
      </w:r>
    </w:p>
  </w:endnote>
  <w:endnote w:type="continuationSeparator" w:id="0">
    <w:p w14:paraId="520CE12E" w14:textId="77777777" w:rsidR="000A1ADC" w:rsidRDefault="000A1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7D2F6" w14:textId="77777777" w:rsidR="001E6F5C" w:rsidRPr="00FD6C18" w:rsidRDefault="001E6F5C" w:rsidP="00FD6C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328FF" w14:textId="77777777" w:rsidR="000A1ADC" w:rsidRDefault="000A1ADC">
      <w:r>
        <w:separator/>
      </w:r>
    </w:p>
  </w:footnote>
  <w:footnote w:type="continuationSeparator" w:id="0">
    <w:p w14:paraId="6BCFD36E" w14:textId="77777777" w:rsidR="000A1ADC" w:rsidRDefault="000A1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AD82" w14:textId="5E703B17" w:rsidR="001E6F5C" w:rsidRDefault="001E6F5C">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B91C77">
      <w:rPr>
        <w:rFonts w:ascii="Arial" w:hAnsi="Arial" w:cs="Arial"/>
        <w:sz w:val="16"/>
      </w:rPr>
      <w:t>04/23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2F36E1">
      <w:rPr>
        <w:rFonts w:ascii="Arial" w:hAnsi="Arial" w:cs="Arial"/>
        <w:noProof/>
        <w:sz w:val="16"/>
      </w:rPr>
      <w:t>2</w:t>
    </w:r>
    <w:r>
      <w:rPr>
        <w:rFonts w:ascii="Arial" w:hAnsi="Arial" w:cs="Arial"/>
        <w:sz w:val="16"/>
      </w:rPr>
      <w:fldChar w:fldCharType="end"/>
    </w:r>
  </w:p>
  <w:p w14:paraId="6157272C" w14:textId="77777777" w:rsidR="001E6F5C" w:rsidRDefault="001E6F5C">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3748" w14:textId="62B5D62B" w:rsidR="001E6F5C" w:rsidRDefault="001E6F5C">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w:t>
    </w:r>
    <w:r w:rsidR="00B91C77">
      <w:rPr>
        <w:rFonts w:ascii="Arial" w:hAnsi="Arial" w:cs="Arial"/>
        <w:sz w:val="16"/>
      </w:rPr>
      <w:t>04/23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CC52E2">
      <w:rPr>
        <w:rFonts w:ascii="Arial" w:hAnsi="Arial" w:cs="Arial"/>
        <w:noProof/>
        <w:sz w:val="16"/>
      </w:rPr>
      <w:t>3</w:t>
    </w:r>
    <w:r>
      <w:rPr>
        <w:rFonts w:ascii="Arial" w:hAnsi="Arial" w:cs="Arial"/>
        <w:sz w:val="16"/>
      </w:rPr>
      <w:fldChar w:fldCharType="end"/>
    </w:r>
  </w:p>
  <w:p w14:paraId="6D749746" w14:textId="77777777" w:rsidR="001E6F5C" w:rsidRDefault="001E6F5C">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0B6E" w14:textId="77777777" w:rsidR="001E6F5C" w:rsidRDefault="001E6F5C">
    <w:pPr>
      <w:spacing w:before="2200" w:line="280" w:lineRule="exact"/>
      <w:jc w:val="center"/>
      <w:rPr>
        <w:b/>
        <w:bCs/>
        <w:sz w:val="28"/>
      </w:rPr>
    </w:pPr>
    <w:r>
      <w:rPr>
        <w:b/>
        <w:bCs/>
        <w:sz w:val="28"/>
      </w:rPr>
      <w:t xml:space="preserve"> </w:t>
    </w:r>
  </w:p>
  <w:p w14:paraId="42272991" w14:textId="77777777" w:rsidR="001E6F5C" w:rsidRDefault="001E6F5C">
    <w:pPr>
      <w:jc w:val="center"/>
      <w:rPr>
        <w:rFonts w:ascii="Arial" w:hAnsi="Arial" w:cs="Arial"/>
        <w:sz w:val="20"/>
      </w:rPr>
    </w:pPr>
    <w:r>
      <w:rPr>
        <w:rFonts w:ascii="Arial" w:hAnsi="Arial" w:cs="Arial"/>
        <w:sz w:val="20"/>
      </w:rPr>
      <w:t xml:space="preserve"> </w:t>
    </w:r>
  </w:p>
  <w:p w14:paraId="737278C3" w14:textId="77777777" w:rsidR="001E6F5C" w:rsidRDefault="001E6F5C">
    <w:pPr>
      <w:spacing w:after="800"/>
      <w:jc w:val="center"/>
      <w:rPr>
        <w:rFonts w:ascii="Arial" w:hAnsi="Arial" w:cs="Arial"/>
        <w:sz w:val="18"/>
      </w:rPr>
    </w:pPr>
    <w:r>
      <w:rPr>
        <w:rFonts w:ascii="Arial" w:hAnsi="Arial" w:cs="Arial"/>
        <w:sz w:val="20"/>
      </w:rPr>
      <w:t xml:space="preserve"> </w:t>
    </w:r>
  </w:p>
  <w:p w14:paraId="098FCFEC" w14:textId="77777777" w:rsidR="001E6F5C" w:rsidRDefault="00000000">
    <w:pPr>
      <w:rPr>
        <w:rFonts w:ascii="Helvetica" w:hAnsi="Helvetica"/>
      </w:rPr>
    </w:pPr>
    <w:r>
      <w:rPr>
        <w:noProof/>
        <w:sz w:val="20"/>
      </w:rPr>
      <w:pict w14:anchorId="6FDA379F">
        <v:line id="_x0000_s1025" style="position:absolute;left:0;text-align:left;z-index:1" from="-1.35pt,7.15pt" to="474.85pt,7.15pt" strokeweight="1.5pt"/>
      </w:pict>
    </w:r>
  </w:p>
  <w:p w14:paraId="6D28469B" w14:textId="77777777" w:rsidR="001E6F5C" w:rsidRPr="003A7B0B" w:rsidRDefault="001E6F5C">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3D299927" w14:textId="77777777" w:rsidR="001E6F5C"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2194D26A">
        <v:line id="_x0000_s1026" style="position:absolute;left:0;text-align:left;z-index:2" from="-1.35pt,7.15pt" to="474.85pt,7.15pt" strokeweight="1.5pt"/>
      </w:pict>
    </w:r>
  </w:p>
  <w:p w14:paraId="7FE535EB" w14:textId="792FEFF3" w:rsidR="001E6F5C" w:rsidRDefault="001E6F5C">
    <w:pPr>
      <w:pStyle w:val="berschrift"/>
      <w:spacing w:before="400" w:after="400"/>
      <w:jc w:val="right"/>
    </w:pPr>
    <w:r>
      <w:t>Im April 202</w:t>
    </w:r>
    <w:r w:rsidR="00B91C77">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D7886" w14:textId="3C91F12A" w:rsidR="001E6F5C" w:rsidRDefault="001E6F5C"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w:t>
    </w:r>
    <w:r w:rsidR="00B91C77">
      <w:rPr>
        <w:rFonts w:ascii="Arial" w:hAnsi="Arial" w:cs="Arial"/>
        <w:sz w:val="16"/>
      </w:rPr>
      <w:t>04/23</w:t>
    </w:r>
    <w:r>
      <w:rPr>
        <w:rFonts w:ascii="Arial" w:hAnsi="Arial" w:cs="Arial"/>
        <w:sz w:val="16"/>
      </w:rPr>
      <w:t xml:space="preserve">,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EA51A3">
      <w:rPr>
        <w:rFonts w:ascii="Arial" w:hAnsi="Arial" w:cs="Arial"/>
        <w:noProof/>
        <w:sz w:val="16"/>
      </w:rPr>
      <w:t>4</w:t>
    </w:r>
    <w:r>
      <w:rPr>
        <w:rFonts w:ascii="Arial" w:hAnsi="Arial" w:cs="Arial"/>
        <w:sz w:val="16"/>
      </w:rPr>
      <w:fldChar w:fldCharType="end"/>
    </w:r>
  </w:p>
  <w:p w14:paraId="23D58027" w14:textId="77777777" w:rsidR="001E6F5C" w:rsidRDefault="001E6F5C"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53397" w14:textId="77777777" w:rsidR="001E6F5C" w:rsidRDefault="001E6F5C">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5DB922F6" w14:textId="77777777" w:rsidR="001E6F5C" w:rsidRDefault="001E6F5C">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7"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97080608">
    <w:abstractNumId w:val="1"/>
  </w:num>
  <w:num w:numId="2" w16cid:durableId="2012489978">
    <w:abstractNumId w:val="0"/>
  </w:num>
  <w:num w:numId="3" w16cid:durableId="1197044940">
    <w:abstractNumId w:val="2"/>
  </w:num>
  <w:num w:numId="4" w16cid:durableId="859782580">
    <w:abstractNumId w:val="8"/>
  </w:num>
  <w:num w:numId="5" w16cid:durableId="41489390">
    <w:abstractNumId w:val="6"/>
  </w:num>
  <w:num w:numId="6" w16cid:durableId="1836678145">
    <w:abstractNumId w:val="5"/>
  </w:num>
  <w:num w:numId="7" w16cid:durableId="571085330">
    <w:abstractNumId w:val="3"/>
  </w:num>
  <w:num w:numId="8" w16cid:durableId="1966692724">
    <w:abstractNumId w:val="7"/>
  </w:num>
  <w:num w:numId="9" w16cid:durableId="400493844">
    <w:abstractNumId w:val="4"/>
  </w:num>
  <w:num w:numId="10" w16cid:durableId="484588556">
    <w:abstractNumId w:val="9"/>
  </w:num>
  <w:num w:numId="11" w16cid:durableId="1973510598">
    <w:abstractNumId w:val="10"/>
  </w:num>
  <w:num w:numId="12" w16cid:durableId="516889741">
    <w:abstractNumId w:val="2"/>
  </w:num>
  <w:num w:numId="13" w16cid:durableId="1220020150">
    <w:abstractNumId w:val="2"/>
  </w:num>
  <w:num w:numId="14" w16cid:durableId="1016006923">
    <w:abstractNumId w:val="2"/>
  </w:num>
  <w:num w:numId="15" w16cid:durableId="1270430515">
    <w:abstractNumId w:val="2"/>
  </w:num>
  <w:num w:numId="16" w16cid:durableId="1419132731">
    <w:abstractNumId w:val="2"/>
  </w:num>
  <w:num w:numId="17" w16cid:durableId="53433687">
    <w:abstractNumId w:val="2"/>
  </w:num>
  <w:num w:numId="18" w16cid:durableId="1238898488">
    <w:abstractNumId w:val="2"/>
  </w:num>
  <w:num w:numId="19" w16cid:durableId="2056391582">
    <w:abstractNumId w:val="2"/>
  </w:num>
  <w:num w:numId="20" w16cid:durableId="254675682">
    <w:abstractNumId w:val="2"/>
  </w:num>
  <w:num w:numId="21" w16cid:durableId="1659722598">
    <w:abstractNumId w:val="2"/>
  </w:num>
  <w:num w:numId="22" w16cid:durableId="638455439">
    <w:abstractNumId w:val="2"/>
  </w:num>
  <w:num w:numId="23" w16cid:durableId="75833332">
    <w:abstractNumId w:val="2"/>
  </w:num>
  <w:num w:numId="24" w16cid:durableId="307445943">
    <w:abstractNumId w:val="2"/>
  </w:num>
  <w:num w:numId="25" w16cid:durableId="757793057">
    <w:abstractNumId w:val="2"/>
  </w:num>
  <w:num w:numId="26" w16cid:durableId="1047605497">
    <w:abstractNumId w:val="2"/>
  </w:num>
  <w:num w:numId="27" w16cid:durableId="168831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0">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20BC3"/>
    <w:rsid w:val="00023B3B"/>
    <w:rsid w:val="000314B3"/>
    <w:rsid w:val="00034226"/>
    <w:rsid w:val="00042E55"/>
    <w:rsid w:val="000505AF"/>
    <w:rsid w:val="00054866"/>
    <w:rsid w:val="0006112B"/>
    <w:rsid w:val="0006452E"/>
    <w:rsid w:val="0007255F"/>
    <w:rsid w:val="00091BF3"/>
    <w:rsid w:val="000A03C7"/>
    <w:rsid w:val="000A0D25"/>
    <w:rsid w:val="000A1ADC"/>
    <w:rsid w:val="000A5639"/>
    <w:rsid w:val="000A6578"/>
    <w:rsid w:val="000B1357"/>
    <w:rsid w:val="000C500B"/>
    <w:rsid w:val="000D6453"/>
    <w:rsid w:val="000E3A34"/>
    <w:rsid w:val="000F1DD4"/>
    <w:rsid w:val="00110630"/>
    <w:rsid w:val="00112405"/>
    <w:rsid w:val="0011295A"/>
    <w:rsid w:val="00114565"/>
    <w:rsid w:val="00117767"/>
    <w:rsid w:val="00121767"/>
    <w:rsid w:val="00122810"/>
    <w:rsid w:val="0014209D"/>
    <w:rsid w:val="00154B3C"/>
    <w:rsid w:val="0015636D"/>
    <w:rsid w:val="00156B44"/>
    <w:rsid w:val="00163490"/>
    <w:rsid w:val="001639D5"/>
    <w:rsid w:val="0016520B"/>
    <w:rsid w:val="001715AA"/>
    <w:rsid w:val="00176DD1"/>
    <w:rsid w:val="001870DA"/>
    <w:rsid w:val="0018751C"/>
    <w:rsid w:val="00187547"/>
    <w:rsid w:val="0019245E"/>
    <w:rsid w:val="001951C3"/>
    <w:rsid w:val="001951EE"/>
    <w:rsid w:val="00197B9B"/>
    <w:rsid w:val="001A40A0"/>
    <w:rsid w:val="001B4BDD"/>
    <w:rsid w:val="001B6254"/>
    <w:rsid w:val="001C2EC7"/>
    <w:rsid w:val="001D492A"/>
    <w:rsid w:val="001D4C6A"/>
    <w:rsid w:val="001E242A"/>
    <w:rsid w:val="001E331C"/>
    <w:rsid w:val="001E436A"/>
    <w:rsid w:val="001E6D86"/>
    <w:rsid w:val="001E6F5C"/>
    <w:rsid w:val="001F1FB6"/>
    <w:rsid w:val="00212AAC"/>
    <w:rsid w:val="00233488"/>
    <w:rsid w:val="00233778"/>
    <w:rsid w:val="002342E8"/>
    <w:rsid w:val="00247FE7"/>
    <w:rsid w:val="002519B4"/>
    <w:rsid w:val="00255035"/>
    <w:rsid w:val="0026236F"/>
    <w:rsid w:val="0026451C"/>
    <w:rsid w:val="002735DB"/>
    <w:rsid w:val="002801D0"/>
    <w:rsid w:val="00297163"/>
    <w:rsid w:val="002A1DD0"/>
    <w:rsid w:val="002A54C2"/>
    <w:rsid w:val="002B52E0"/>
    <w:rsid w:val="002C0E16"/>
    <w:rsid w:val="002C1E97"/>
    <w:rsid w:val="002C5A18"/>
    <w:rsid w:val="002F36E1"/>
    <w:rsid w:val="00310B9B"/>
    <w:rsid w:val="00325D49"/>
    <w:rsid w:val="0032752A"/>
    <w:rsid w:val="003407DC"/>
    <w:rsid w:val="00341813"/>
    <w:rsid w:val="00343848"/>
    <w:rsid w:val="00354843"/>
    <w:rsid w:val="003564AC"/>
    <w:rsid w:val="0035769F"/>
    <w:rsid w:val="003635C0"/>
    <w:rsid w:val="00371133"/>
    <w:rsid w:val="00392877"/>
    <w:rsid w:val="003A0DBC"/>
    <w:rsid w:val="003A332B"/>
    <w:rsid w:val="003A7B0B"/>
    <w:rsid w:val="003B0D32"/>
    <w:rsid w:val="003B101C"/>
    <w:rsid w:val="003B1070"/>
    <w:rsid w:val="003B3753"/>
    <w:rsid w:val="003B77BC"/>
    <w:rsid w:val="003E47DC"/>
    <w:rsid w:val="003F3944"/>
    <w:rsid w:val="003F39FE"/>
    <w:rsid w:val="004013F0"/>
    <w:rsid w:val="004033A4"/>
    <w:rsid w:val="00415717"/>
    <w:rsid w:val="0042023E"/>
    <w:rsid w:val="0042054A"/>
    <w:rsid w:val="00421A7C"/>
    <w:rsid w:val="00431940"/>
    <w:rsid w:val="004326AF"/>
    <w:rsid w:val="004574D1"/>
    <w:rsid w:val="00460FDB"/>
    <w:rsid w:val="00463354"/>
    <w:rsid w:val="00472C27"/>
    <w:rsid w:val="00474D2A"/>
    <w:rsid w:val="004930AD"/>
    <w:rsid w:val="00496367"/>
    <w:rsid w:val="004A204C"/>
    <w:rsid w:val="004B002A"/>
    <w:rsid w:val="004B3290"/>
    <w:rsid w:val="004B5AFF"/>
    <w:rsid w:val="004B5C7A"/>
    <w:rsid w:val="004C2225"/>
    <w:rsid w:val="004C6068"/>
    <w:rsid w:val="004D0276"/>
    <w:rsid w:val="004E3DC1"/>
    <w:rsid w:val="004E58F9"/>
    <w:rsid w:val="0050264A"/>
    <w:rsid w:val="005033A1"/>
    <w:rsid w:val="00504291"/>
    <w:rsid w:val="00510A04"/>
    <w:rsid w:val="00511399"/>
    <w:rsid w:val="0052029C"/>
    <w:rsid w:val="005229E8"/>
    <w:rsid w:val="005234DF"/>
    <w:rsid w:val="00525E37"/>
    <w:rsid w:val="00526A52"/>
    <w:rsid w:val="00533FD3"/>
    <w:rsid w:val="00540F81"/>
    <w:rsid w:val="005503DF"/>
    <w:rsid w:val="00550B87"/>
    <w:rsid w:val="005559D7"/>
    <w:rsid w:val="005648C1"/>
    <w:rsid w:val="0056591A"/>
    <w:rsid w:val="00586EEF"/>
    <w:rsid w:val="0059675F"/>
    <w:rsid w:val="005A434A"/>
    <w:rsid w:val="005A70B0"/>
    <w:rsid w:val="005A7FC9"/>
    <w:rsid w:val="005B1FCA"/>
    <w:rsid w:val="005B332F"/>
    <w:rsid w:val="005B755D"/>
    <w:rsid w:val="005C3688"/>
    <w:rsid w:val="005C415F"/>
    <w:rsid w:val="005D222D"/>
    <w:rsid w:val="005E4103"/>
    <w:rsid w:val="005F21BA"/>
    <w:rsid w:val="0060111E"/>
    <w:rsid w:val="00617DA1"/>
    <w:rsid w:val="00624DE6"/>
    <w:rsid w:val="00625D11"/>
    <w:rsid w:val="00626647"/>
    <w:rsid w:val="006313F3"/>
    <w:rsid w:val="00634E25"/>
    <w:rsid w:val="00637502"/>
    <w:rsid w:val="0063787F"/>
    <w:rsid w:val="00646F35"/>
    <w:rsid w:val="00647EE1"/>
    <w:rsid w:val="00650483"/>
    <w:rsid w:val="006523CF"/>
    <w:rsid w:val="006540F8"/>
    <w:rsid w:val="0065618E"/>
    <w:rsid w:val="0066036F"/>
    <w:rsid w:val="00663570"/>
    <w:rsid w:val="0066357B"/>
    <w:rsid w:val="00670057"/>
    <w:rsid w:val="0067005B"/>
    <w:rsid w:val="0067274E"/>
    <w:rsid w:val="00675151"/>
    <w:rsid w:val="00675E00"/>
    <w:rsid w:val="00681DCD"/>
    <w:rsid w:val="006849CA"/>
    <w:rsid w:val="00694E20"/>
    <w:rsid w:val="00695602"/>
    <w:rsid w:val="006A3BF4"/>
    <w:rsid w:val="006A7D1A"/>
    <w:rsid w:val="006B4DE0"/>
    <w:rsid w:val="006B6197"/>
    <w:rsid w:val="006C15EA"/>
    <w:rsid w:val="006C3A77"/>
    <w:rsid w:val="006C544A"/>
    <w:rsid w:val="006D5E45"/>
    <w:rsid w:val="006E18BF"/>
    <w:rsid w:val="006E7884"/>
    <w:rsid w:val="006F12A7"/>
    <w:rsid w:val="006F582E"/>
    <w:rsid w:val="007018BB"/>
    <w:rsid w:val="00703E54"/>
    <w:rsid w:val="00707D5F"/>
    <w:rsid w:val="00714BF2"/>
    <w:rsid w:val="00720E0D"/>
    <w:rsid w:val="007221D4"/>
    <w:rsid w:val="00725830"/>
    <w:rsid w:val="00727E21"/>
    <w:rsid w:val="00732885"/>
    <w:rsid w:val="007405D3"/>
    <w:rsid w:val="007637C2"/>
    <w:rsid w:val="00767062"/>
    <w:rsid w:val="00770967"/>
    <w:rsid w:val="00774F32"/>
    <w:rsid w:val="00786E08"/>
    <w:rsid w:val="007879DA"/>
    <w:rsid w:val="007943CA"/>
    <w:rsid w:val="007B0F1A"/>
    <w:rsid w:val="007B6333"/>
    <w:rsid w:val="007C0F87"/>
    <w:rsid w:val="007D1B6A"/>
    <w:rsid w:val="007D3954"/>
    <w:rsid w:val="007D3F68"/>
    <w:rsid w:val="007E7D07"/>
    <w:rsid w:val="007F2D2F"/>
    <w:rsid w:val="007F4B56"/>
    <w:rsid w:val="008012AC"/>
    <w:rsid w:val="00801511"/>
    <w:rsid w:val="00821150"/>
    <w:rsid w:val="00822B21"/>
    <w:rsid w:val="00823510"/>
    <w:rsid w:val="00824623"/>
    <w:rsid w:val="00824889"/>
    <w:rsid w:val="00836E69"/>
    <w:rsid w:val="00847C7B"/>
    <w:rsid w:val="00852655"/>
    <w:rsid w:val="00855885"/>
    <w:rsid w:val="00860028"/>
    <w:rsid w:val="0086137C"/>
    <w:rsid w:val="008657F6"/>
    <w:rsid w:val="00871566"/>
    <w:rsid w:val="008845D6"/>
    <w:rsid w:val="0089513B"/>
    <w:rsid w:val="008951C8"/>
    <w:rsid w:val="008A0FE3"/>
    <w:rsid w:val="008A5553"/>
    <w:rsid w:val="008A5B7C"/>
    <w:rsid w:val="008B4B49"/>
    <w:rsid w:val="008B4D0A"/>
    <w:rsid w:val="008C108F"/>
    <w:rsid w:val="008C3624"/>
    <w:rsid w:val="008C3D7C"/>
    <w:rsid w:val="008C5D99"/>
    <w:rsid w:val="008D1FDF"/>
    <w:rsid w:val="008E29FD"/>
    <w:rsid w:val="008E6369"/>
    <w:rsid w:val="008F173C"/>
    <w:rsid w:val="008F2008"/>
    <w:rsid w:val="008F47BE"/>
    <w:rsid w:val="008F596E"/>
    <w:rsid w:val="008F72FB"/>
    <w:rsid w:val="009125BA"/>
    <w:rsid w:val="00913C49"/>
    <w:rsid w:val="009307FC"/>
    <w:rsid w:val="0094521F"/>
    <w:rsid w:val="00957D0C"/>
    <w:rsid w:val="009602CA"/>
    <w:rsid w:val="00966E5E"/>
    <w:rsid w:val="00977A94"/>
    <w:rsid w:val="00982098"/>
    <w:rsid w:val="00985EA9"/>
    <w:rsid w:val="00995095"/>
    <w:rsid w:val="00995E72"/>
    <w:rsid w:val="009B3D29"/>
    <w:rsid w:val="009B516A"/>
    <w:rsid w:val="009B7829"/>
    <w:rsid w:val="009C6719"/>
    <w:rsid w:val="009D1D79"/>
    <w:rsid w:val="009D32DD"/>
    <w:rsid w:val="009D6368"/>
    <w:rsid w:val="009E2C36"/>
    <w:rsid w:val="009E3C53"/>
    <w:rsid w:val="00A0127B"/>
    <w:rsid w:val="00A02005"/>
    <w:rsid w:val="00A057B4"/>
    <w:rsid w:val="00A058A8"/>
    <w:rsid w:val="00A13617"/>
    <w:rsid w:val="00A156FE"/>
    <w:rsid w:val="00A315EE"/>
    <w:rsid w:val="00A346BB"/>
    <w:rsid w:val="00A36724"/>
    <w:rsid w:val="00A3740F"/>
    <w:rsid w:val="00A653CC"/>
    <w:rsid w:val="00A71E8C"/>
    <w:rsid w:val="00A72F16"/>
    <w:rsid w:val="00A73EF9"/>
    <w:rsid w:val="00A77E36"/>
    <w:rsid w:val="00A824C8"/>
    <w:rsid w:val="00A840DA"/>
    <w:rsid w:val="00A8648B"/>
    <w:rsid w:val="00A91735"/>
    <w:rsid w:val="00A97F44"/>
    <w:rsid w:val="00AB3DEF"/>
    <w:rsid w:val="00AB4686"/>
    <w:rsid w:val="00AB6F5D"/>
    <w:rsid w:val="00AC05D0"/>
    <w:rsid w:val="00AC4E5D"/>
    <w:rsid w:val="00AC62FF"/>
    <w:rsid w:val="00AC645E"/>
    <w:rsid w:val="00AD3220"/>
    <w:rsid w:val="00AD57F6"/>
    <w:rsid w:val="00AD6ACB"/>
    <w:rsid w:val="00AD7AE2"/>
    <w:rsid w:val="00AE17F2"/>
    <w:rsid w:val="00AE33EE"/>
    <w:rsid w:val="00B02E3C"/>
    <w:rsid w:val="00B036F3"/>
    <w:rsid w:val="00B03ED5"/>
    <w:rsid w:val="00B05A17"/>
    <w:rsid w:val="00B13277"/>
    <w:rsid w:val="00B1424A"/>
    <w:rsid w:val="00B14536"/>
    <w:rsid w:val="00B163FA"/>
    <w:rsid w:val="00B1738A"/>
    <w:rsid w:val="00B21FDF"/>
    <w:rsid w:val="00B3075F"/>
    <w:rsid w:val="00B33C93"/>
    <w:rsid w:val="00B37171"/>
    <w:rsid w:val="00B378D3"/>
    <w:rsid w:val="00B52EC1"/>
    <w:rsid w:val="00B538B3"/>
    <w:rsid w:val="00B612EE"/>
    <w:rsid w:val="00B71896"/>
    <w:rsid w:val="00B724DA"/>
    <w:rsid w:val="00B75719"/>
    <w:rsid w:val="00B80353"/>
    <w:rsid w:val="00B82520"/>
    <w:rsid w:val="00B91C77"/>
    <w:rsid w:val="00B9234C"/>
    <w:rsid w:val="00B95932"/>
    <w:rsid w:val="00BA0290"/>
    <w:rsid w:val="00BA138A"/>
    <w:rsid w:val="00BA27FF"/>
    <w:rsid w:val="00BD792A"/>
    <w:rsid w:val="00BE0B80"/>
    <w:rsid w:val="00BE1449"/>
    <w:rsid w:val="00BE1C55"/>
    <w:rsid w:val="00BE31C5"/>
    <w:rsid w:val="00BE32C7"/>
    <w:rsid w:val="00C21A51"/>
    <w:rsid w:val="00C22ACF"/>
    <w:rsid w:val="00C252B1"/>
    <w:rsid w:val="00C333DE"/>
    <w:rsid w:val="00C4293C"/>
    <w:rsid w:val="00C430F5"/>
    <w:rsid w:val="00C4680F"/>
    <w:rsid w:val="00C61604"/>
    <w:rsid w:val="00C64CAD"/>
    <w:rsid w:val="00C679CF"/>
    <w:rsid w:val="00C73662"/>
    <w:rsid w:val="00C74757"/>
    <w:rsid w:val="00C7774E"/>
    <w:rsid w:val="00C82BB3"/>
    <w:rsid w:val="00C8658C"/>
    <w:rsid w:val="00C932C6"/>
    <w:rsid w:val="00C975B8"/>
    <w:rsid w:val="00CB0397"/>
    <w:rsid w:val="00CB4D3F"/>
    <w:rsid w:val="00CB704F"/>
    <w:rsid w:val="00CC4564"/>
    <w:rsid w:val="00CC52E2"/>
    <w:rsid w:val="00CD55AE"/>
    <w:rsid w:val="00CE2831"/>
    <w:rsid w:val="00CE32B8"/>
    <w:rsid w:val="00CF03E8"/>
    <w:rsid w:val="00CF0DB3"/>
    <w:rsid w:val="00D022FC"/>
    <w:rsid w:val="00D04974"/>
    <w:rsid w:val="00D06B1E"/>
    <w:rsid w:val="00D10805"/>
    <w:rsid w:val="00D24518"/>
    <w:rsid w:val="00D37D4C"/>
    <w:rsid w:val="00D45592"/>
    <w:rsid w:val="00D517A2"/>
    <w:rsid w:val="00D52519"/>
    <w:rsid w:val="00D54127"/>
    <w:rsid w:val="00D653C1"/>
    <w:rsid w:val="00D71931"/>
    <w:rsid w:val="00D71A0B"/>
    <w:rsid w:val="00D727E1"/>
    <w:rsid w:val="00D87A5C"/>
    <w:rsid w:val="00D94A15"/>
    <w:rsid w:val="00D9721C"/>
    <w:rsid w:val="00DB6459"/>
    <w:rsid w:val="00DD0E4A"/>
    <w:rsid w:val="00DD2B45"/>
    <w:rsid w:val="00DE1F5F"/>
    <w:rsid w:val="00DE24EE"/>
    <w:rsid w:val="00DF0BDF"/>
    <w:rsid w:val="00DF1818"/>
    <w:rsid w:val="00DF3012"/>
    <w:rsid w:val="00DF3812"/>
    <w:rsid w:val="00E01815"/>
    <w:rsid w:val="00E04742"/>
    <w:rsid w:val="00E10419"/>
    <w:rsid w:val="00E11A49"/>
    <w:rsid w:val="00E16D59"/>
    <w:rsid w:val="00E2111E"/>
    <w:rsid w:val="00E21C5D"/>
    <w:rsid w:val="00E25C6C"/>
    <w:rsid w:val="00E31954"/>
    <w:rsid w:val="00E47FBD"/>
    <w:rsid w:val="00E5583E"/>
    <w:rsid w:val="00E55A50"/>
    <w:rsid w:val="00E607E4"/>
    <w:rsid w:val="00E619CD"/>
    <w:rsid w:val="00E640BC"/>
    <w:rsid w:val="00E67798"/>
    <w:rsid w:val="00E77E22"/>
    <w:rsid w:val="00E83C2D"/>
    <w:rsid w:val="00EA51A3"/>
    <w:rsid w:val="00EB0620"/>
    <w:rsid w:val="00EB7484"/>
    <w:rsid w:val="00EB77CE"/>
    <w:rsid w:val="00EC41C9"/>
    <w:rsid w:val="00ED4F64"/>
    <w:rsid w:val="00ED7078"/>
    <w:rsid w:val="00ED7E8C"/>
    <w:rsid w:val="00EE0EAF"/>
    <w:rsid w:val="00EE574A"/>
    <w:rsid w:val="00EF085F"/>
    <w:rsid w:val="00EF42FB"/>
    <w:rsid w:val="00EF6A8F"/>
    <w:rsid w:val="00F023FD"/>
    <w:rsid w:val="00F125D1"/>
    <w:rsid w:val="00F276E7"/>
    <w:rsid w:val="00F622E4"/>
    <w:rsid w:val="00F8351E"/>
    <w:rsid w:val="00F864F3"/>
    <w:rsid w:val="00F91DB6"/>
    <w:rsid w:val="00F91FB1"/>
    <w:rsid w:val="00F9436C"/>
    <w:rsid w:val="00F97768"/>
    <w:rsid w:val="00FA646D"/>
    <w:rsid w:val="00FA7EAF"/>
    <w:rsid w:val="00FB02E0"/>
    <w:rsid w:val="00FC28A4"/>
    <w:rsid w:val="00FC5D4E"/>
    <w:rsid w:val="00FD6C18"/>
    <w:rsid w:val="00FE1235"/>
    <w:rsid w:val="00FE3254"/>
    <w:rsid w:val="00FE7BCF"/>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colormru v:ext="edit" colors="#b2b2b2,#ddd"/>
    </o:shapedefaults>
    <o:shapelayout v:ext="edit">
      <o:idmap v:ext="edit" data="2"/>
    </o:shapelayout>
  </w:shapeDefaults>
  <w:decimalSymbol w:val=","/>
  <w:listSeparator w:val=";"/>
  <w14:docId w14:val="1BFD781F"/>
  <w15:docId w15:val="{4416B938-61A3-40D5-83B7-A2D5AABE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semiHidden/>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uiPriority w:val="99"/>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uiPriority w:val="22"/>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paragraph" w:styleId="StandardWeb">
    <w:name w:val="Normal (Web)"/>
    <w:basedOn w:val="Standard"/>
    <w:uiPriority w:val="99"/>
    <w:unhideWhenUsed/>
    <w:rsid w:val="00163490"/>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sz w:val="24"/>
      <w:szCs w:val="24"/>
    </w:rPr>
  </w:style>
  <w:style w:type="character" w:customStyle="1" w:styleId="jnentitel">
    <w:name w:val="jnentitel"/>
    <w:rsid w:val="00725830"/>
  </w:style>
  <w:style w:type="character" w:customStyle="1" w:styleId="deubglistenelement">
    <w:name w:val="deub_g_listenelement"/>
    <w:rsid w:val="00B036F3"/>
  </w:style>
  <w:style w:type="paragraph" w:styleId="berarbeitung">
    <w:name w:val="Revision"/>
    <w:hidden/>
    <w:uiPriority w:val="99"/>
    <w:semiHidden/>
    <w:rsid w:val="00650483"/>
    <w:rPr>
      <w:sz w:val="22"/>
    </w:rPr>
  </w:style>
  <w:style w:type="character" w:customStyle="1" w:styleId="searchword">
    <w:name w:val="searchword"/>
    <w:basedOn w:val="Absatz-Standardschriftart"/>
    <w:rsid w:val="00B91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25815">
      <w:bodyDiv w:val="1"/>
      <w:marLeft w:val="0"/>
      <w:marRight w:val="0"/>
      <w:marTop w:val="0"/>
      <w:marBottom w:val="0"/>
      <w:divBdr>
        <w:top w:val="none" w:sz="0" w:space="0" w:color="auto"/>
        <w:left w:val="none" w:sz="0" w:space="0" w:color="auto"/>
        <w:bottom w:val="none" w:sz="0" w:space="0" w:color="auto"/>
        <w:right w:val="none" w:sz="0" w:space="0" w:color="auto"/>
      </w:divBdr>
    </w:div>
    <w:div w:id="336809148">
      <w:bodyDiv w:val="1"/>
      <w:marLeft w:val="0"/>
      <w:marRight w:val="0"/>
      <w:marTop w:val="0"/>
      <w:marBottom w:val="0"/>
      <w:divBdr>
        <w:top w:val="none" w:sz="0" w:space="0" w:color="auto"/>
        <w:left w:val="none" w:sz="0" w:space="0" w:color="auto"/>
        <w:bottom w:val="none" w:sz="0" w:space="0" w:color="auto"/>
        <w:right w:val="none" w:sz="0" w:space="0" w:color="auto"/>
      </w:divBdr>
      <w:divsChild>
        <w:div w:id="834295870">
          <w:marLeft w:val="0"/>
          <w:marRight w:val="0"/>
          <w:marTop w:val="0"/>
          <w:marBottom w:val="0"/>
          <w:divBdr>
            <w:top w:val="none" w:sz="0" w:space="0" w:color="auto"/>
            <w:left w:val="none" w:sz="0" w:space="0" w:color="auto"/>
            <w:bottom w:val="none" w:sz="0" w:space="0" w:color="auto"/>
            <w:right w:val="none" w:sz="0" w:space="0" w:color="auto"/>
          </w:divBdr>
        </w:div>
        <w:div w:id="1494176811">
          <w:marLeft w:val="0"/>
          <w:marRight w:val="0"/>
          <w:marTop w:val="0"/>
          <w:marBottom w:val="0"/>
          <w:divBdr>
            <w:top w:val="none" w:sz="0" w:space="0" w:color="auto"/>
            <w:left w:val="none" w:sz="0" w:space="0" w:color="auto"/>
            <w:bottom w:val="none" w:sz="0" w:space="0" w:color="auto"/>
            <w:right w:val="none" w:sz="0" w:space="0" w:color="auto"/>
          </w:divBdr>
        </w:div>
      </w:divsChild>
    </w:div>
    <w:div w:id="1196772882">
      <w:bodyDiv w:val="1"/>
      <w:marLeft w:val="0"/>
      <w:marRight w:val="0"/>
      <w:marTop w:val="0"/>
      <w:marBottom w:val="0"/>
      <w:divBdr>
        <w:top w:val="none" w:sz="0" w:space="0" w:color="auto"/>
        <w:left w:val="none" w:sz="0" w:space="0" w:color="auto"/>
        <w:bottom w:val="none" w:sz="0" w:space="0" w:color="auto"/>
        <w:right w:val="none" w:sz="0" w:space="0" w:color="auto"/>
      </w:divBdr>
    </w:div>
    <w:div w:id="1230266555">
      <w:bodyDiv w:val="1"/>
      <w:marLeft w:val="0"/>
      <w:marRight w:val="0"/>
      <w:marTop w:val="0"/>
      <w:marBottom w:val="0"/>
      <w:divBdr>
        <w:top w:val="none" w:sz="0" w:space="0" w:color="auto"/>
        <w:left w:val="none" w:sz="0" w:space="0" w:color="auto"/>
        <w:bottom w:val="none" w:sz="0" w:space="0" w:color="auto"/>
        <w:right w:val="none" w:sz="0" w:space="0" w:color="auto"/>
      </w:divBdr>
    </w:div>
    <w:div w:id="204906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1936</Words>
  <Characters>14079</Characters>
  <Application>Microsoft Office Word</Application>
  <DocSecurity>0</DocSecurity>
  <Lines>260</Lines>
  <Paragraphs>139</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4</cp:revision>
  <cp:lastPrinted>2021-03-12T11:02:00Z</cp:lastPrinted>
  <dcterms:created xsi:type="dcterms:W3CDTF">2023-03-10T10:32:00Z</dcterms:created>
  <dcterms:modified xsi:type="dcterms:W3CDTF">2023-03-10T11:00:00Z</dcterms:modified>
</cp:coreProperties>
</file>